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51102" w14:textId="1D8D5672" w:rsidR="001B3783" w:rsidRDefault="001B3783" w:rsidP="001B3783">
      <w:pPr>
        <w:widowControl w:val="0"/>
        <w:ind w:left="108"/>
        <w:jc w:val="right"/>
        <w:rPr>
          <w:b/>
          <w:bCs/>
          <w:spacing w:val="-2"/>
        </w:rPr>
      </w:pPr>
      <w:r w:rsidRPr="00241D99">
        <w:rPr>
          <w:b/>
          <w:bCs/>
          <w:spacing w:val="-2"/>
        </w:rPr>
        <w:t>P</w:t>
      </w:r>
      <w:r w:rsidR="00C0671C">
        <w:rPr>
          <w:b/>
          <w:bCs/>
          <w:spacing w:val="-2"/>
        </w:rPr>
        <w:t>hụ lục s</w:t>
      </w:r>
      <w:r w:rsidR="0094580B">
        <w:rPr>
          <w:b/>
          <w:bCs/>
          <w:spacing w:val="-2"/>
        </w:rPr>
        <w:t>ố</w:t>
      </w:r>
      <w:r w:rsidRPr="00241D99">
        <w:rPr>
          <w:b/>
          <w:bCs/>
          <w:spacing w:val="-2"/>
        </w:rPr>
        <w:t xml:space="preserve"> 0</w:t>
      </w:r>
      <w:r>
        <w:rPr>
          <w:b/>
          <w:bCs/>
          <w:spacing w:val="-2"/>
        </w:rPr>
        <w:t>6</w:t>
      </w:r>
    </w:p>
    <w:p w14:paraId="7507C901" w14:textId="77777777" w:rsidR="001B3783" w:rsidRDefault="001B3783" w:rsidP="002A54B7">
      <w:pPr>
        <w:widowControl w:val="0"/>
        <w:ind w:left="108"/>
        <w:jc w:val="center"/>
        <w:rPr>
          <w:b/>
          <w:bCs/>
          <w:spacing w:val="-2"/>
        </w:rPr>
      </w:pPr>
    </w:p>
    <w:p w14:paraId="612940BD" w14:textId="0949F34F" w:rsidR="002A54B7" w:rsidRPr="00241D99" w:rsidRDefault="002A54B7" w:rsidP="002A54B7">
      <w:pPr>
        <w:widowControl w:val="0"/>
        <w:ind w:left="108"/>
        <w:jc w:val="center"/>
        <w:rPr>
          <w:b/>
          <w:bCs/>
          <w:spacing w:val="-2"/>
        </w:rPr>
      </w:pPr>
      <w:r w:rsidRPr="00241D99">
        <w:rPr>
          <w:b/>
          <w:bCs/>
          <w:spacing w:val="-2"/>
        </w:rPr>
        <w:t>TỔNG HỢP KIẾN NGHỊ CỦA KIỂM TOÁN NHÀ NƯỚC ĐỐI VỚI CHÍNH PHỦ, THỦ TƯỚNG CHÍNH PHỦ, BỘ, CƠ QUAN TRUNG ƯƠNG, ĐỊA PHƯƠNG, ĐƠN VỊ TỪ KẾT QUẢ KIỂM TOÁN NĂM 202</w:t>
      </w:r>
      <w:r w:rsidR="00A341CD" w:rsidRPr="00241D99">
        <w:rPr>
          <w:b/>
          <w:bCs/>
          <w:spacing w:val="-2"/>
        </w:rPr>
        <w:t>5</w:t>
      </w:r>
    </w:p>
    <w:p w14:paraId="16149B96" w14:textId="77777777" w:rsidR="00DB4AB2" w:rsidRPr="00241D99" w:rsidRDefault="00DB4AB2" w:rsidP="00DB4AB2">
      <w:pPr>
        <w:widowControl w:val="0"/>
        <w:rPr>
          <w:spacing w:val="-2"/>
          <w:sz w:val="24"/>
          <w:szCs w:val="24"/>
        </w:rPr>
      </w:pPr>
    </w:p>
    <w:tbl>
      <w:tblPr>
        <w:tblW w:w="4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4"/>
        <w:gridCol w:w="3460"/>
        <w:gridCol w:w="4537"/>
        <w:gridCol w:w="5608"/>
      </w:tblGrid>
      <w:tr w:rsidR="005C188D" w:rsidRPr="007C1EF6" w14:paraId="15718C46" w14:textId="32A7F127" w:rsidTr="005C188D">
        <w:trPr>
          <w:trHeight w:val="170"/>
          <w:tblHeader/>
          <w:jc w:val="center"/>
        </w:trPr>
        <w:tc>
          <w:tcPr>
            <w:tcW w:w="199" w:type="pct"/>
          </w:tcPr>
          <w:p w14:paraId="2FA179D2" w14:textId="77777777" w:rsidR="005C188D" w:rsidRPr="007C1EF6" w:rsidRDefault="005C188D" w:rsidP="0042173F">
            <w:pPr>
              <w:widowControl w:val="0"/>
              <w:jc w:val="center"/>
              <w:rPr>
                <w:b/>
                <w:bCs/>
                <w:sz w:val="23"/>
                <w:szCs w:val="23"/>
              </w:rPr>
            </w:pPr>
            <w:bookmarkStart w:id="0" w:name="_Hlk123821664"/>
            <w:r w:rsidRPr="007C1EF6">
              <w:rPr>
                <w:b/>
                <w:bCs/>
                <w:sz w:val="23"/>
                <w:szCs w:val="23"/>
              </w:rPr>
              <w:t>TT</w:t>
            </w:r>
          </w:p>
        </w:tc>
        <w:tc>
          <w:tcPr>
            <w:tcW w:w="1221" w:type="pct"/>
          </w:tcPr>
          <w:p w14:paraId="60CB4D32" w14:textId="77777777" w:rsidR="005C188D" w:rsidRPr="007C1EF6" w:rsidRDefault="005C188D" w:rsidP="0042173F">
            <w:pPr>
              <w:widowControl w:val="0"/>
              <w:ind w:right="95"/>
              <w:jc w:val="center"/>
              <w:rPr>
                <w:b/>
                <w:bCs/>
                <w:sz w:val="23"/>
                <w:szCs w:val="23"/>
              </w:rPr>
            </w:pPr>
            <w:r w:rsidRPr="007C1EF6">
              <w:rPr>
                <w:b/>
                <w:bCs/>
                <w:sz w:val="23"/>
                <w:szCs w:val="23"/>
              </w:rPr>
              <w:t>Cơ quan, tổ chức được kiến nghị</w:t>
            </w:r>
          </w:p>
        </w:tc>
        <w:tc>
          <w:tcPr>
            <w:tcW w:w="1601" w:type="pct"/>
          </w:tcPr>
          <w:p w14:paraId="725D642F" w14:textId="6680BFF7" w:rsidR="005C188D" w:rsidRPr="007C1EF6" w:rsidRDefault="005C188D" w:rsidP="0042173F">
            <w:pPr>
              <w:widowControl w:val="0"/>
              <w:ind w:right="31"/>
              <w:jc w:val="center"/>
              <w:rPr>
                <w:b/>
                <w:bCs/>
                <w:sz w:val="23"/>
                <w:szCs w:val="23"/>
              </w:rPr>
            </w:pPr>
            <w:r w:rsidRPr="007C1EF6">
              <w:rPr>
                <w:b/>
                <w:bCs/>
                <w:sz w:val="23"/>
                <w:szCs w:val="23"/>
              </w:rPr>
              <w:t>Trích từ báo cáo kiểm toán</w:t>
            </w:r>
          </w:p>
        </w:tc>
        <w:tc>
          <w:tcPr>
            <w:tcW w:w="1980" w:type="pct"/>
          </w:tcPr>
          <w:p w14:paraId="03D943EF" w14:textId="48658318" w:rsidR="005C188D" w:rsidRPr="007C1EF6" w:rsidRDefault="005C188D" w:rsidP="0042173F">
            <w:pPr>
              <w:widowControl w:val="0"/>
              <w:ind w:right="66"/>
              <w:jc w:val="center"/>
              <w:rPr>
                <w:b/>
                <w:bCs/>
                <w:sz w:val="23"/>
                <w:szCs w:val="23"/>
              </w:rPr>
            </w:pPr>
            <w:r w:rsidRPr="007C1EF6">
              <w:rPr>
                <w:b/>
                <w:bCs/>
                <w:sz w:val="23"/>
                <w:szCs w:val="23"/>
              </w:rPr>
              <w:t>Nội dung kiến nghị</w:t>
            </w:r>
          </w:p>
        </w:tc>
      </w:tr>
      <w:bookmarkEnd w:id="0"/>
      <w:tr w:rsidR="005C188D" w:rsidRPr="007C1EF6" w14:paraId="4E65EE5E" w14:textId="49CAB8DD" w:rsidTr="005C188D">
        <w:trPr>
          <w:trHeight w:val="170"/>
          <w:jc w:val="center"/>
        </w:trPr>
        <w:tc>
          <w:tcPr>
            <w:tcW w:w="199" w:type="pct"/>
          </w:tcPr>
          <w:p w14:paraId="401F09C2" w14:textId="26CA7993" w:rsidR="005C188D" w:rsidRPr="007C1EF6" w:rsidRDefault="005C188D" w:rsidP="0042173F">
            <w:pPr>
              <w:pStyle w:val="ListParagraph"/>
              <w:widowControl w:val="0"/>
              <w:numPr>
                <w:ilvl w:val="0"/>
                <w:numId w:val="13"/>
              </w:numPr>
              <w:spacing w:after="0" w:line="240" w:lineRule="auto"/>
              <w:ind w:left="0" w:firstLine="170"/>
              <w:jc w:val="center"/>
              <w:rPr>
                <w:rFonts w:ascii="Times New Roman" w:hAnsi="Times New Roman"/>
                <w:sz w:val="23"/>
                <w:szCs w:val="23"/>
              </w:rPr>
            </w:pPr>
          </w:p>
        </w:tc>
        <w:tc>
          <w:tcPr>
            <w:tcW w:w="1221" w:type="pct"/>
          </w:tcPr>
          <w:p w14:paraId="01C63764" w14:textId="4BC87788" w:rsidR="005C188D" w:rsidRPr="007C1EF6" w:rsidRDefault="005C188D" w:rsidP="0042173F">
            <w:pPr>
              <w:ind w:right="95"/>
              <w:jc w:val="both"/>
              <w:rPr>
                <w:sz w:val="23"/>
                <w:szCs w:val="23"/>
              </w:rPr>
            </w:pPr>
            <w:r w:rsidRPr="007C1EF6">
              <w:rPr>
                <w:rFonts w:eastAsia="MS Mincho"/>
                <w:bCs/>
                <w:sz w:val="23"/>
                <w:szCs w:val="23"/>
                <w:lang w:val="de-DE"/>
              </w:rPr>
              <w:t>Ủy ban nhân dân tỉnh Thái Bình</w:t>
            </w:r>
          </w:p>
        </w:tc>
        <w:tc>
          <w:tcPr>
            <w:tcW w:w="1601" w:type="pct"/>
          </w:tcPr>
          <w:p w14:paraId="2C4797A0" w14:textId="47EF86AC" w:rsidR="005C188D" w:rsidRPr="007C1EF6" w:rsidRDefault="005C188D" w:rsidP="0042173F">
            <w:pPr>
              <w:ind w:right="31"/>
              <w:jc w:val="both"/>
              <w:rPr>
                <w:noProof/>
                <w:sz w:val="23"/>
                <w:szCs w:val="23"/>
              </w:rPr>
            </w:pPr>
            <w:r w:rsidRPr="007C1EF6">
              <w:rPr>
                <w:rFonts w:eastAsia="MS Mincho"/>
                <w:bCs/>
                <w:sz w:val="23"/>
                <w:szCs w:val="23"/>
                <w:lang w:val="de-DE"/>
              </w:rPr>
              <w:t>Hoạt động xây dựng và việc quản lý, sử dụng vốn đầu tư Dự án đầu tư xây dựng các tuyến đường trục kết nối các khu chức năng trong Khu kinh tế tỉnh Thái Bình</w:t>
            </w:r>
            <w:bookmarkStart w:id="1" w:name="_GoBack"/>
            <w:bookmarkEnd w:id="1"/>
          </w:p>
        </w:tc>
        <w:tc>
          <w:tcPr>
            <w:tcW w:w="1980" w:type="pct"/>
          </w:tcPr>
          <w:p w14:paraId="2DACA640" w14:textId="77777777" w:rsidR="005C188D" w:rsidRPr="007C1EF6" w:rsidRDefault="005C188D" w:rsidP="0042173F">
            <w:pPr>
              <w:jc w:val="both"/>
              <w:rPr>
                <w:sz w:val="23"/>
                <w:szCs w:val="23"/>
              </w:rPr>
            </w:pPr>
            <w:r w:rsidRPr="007C1EF6">
              <w:rPr>
                <w:sz w:val="23"/>
                <w:szCs w:val="23"/>
              </w:rPr>
              <w:t>- Chỉ đạo Chủ đầu tư, Ủy ban nhân dân các huyện Thái Thụy, Kiến Xương, Tiền Hải và các đơn vị liên quan khẩn trương phối hợp, giải quyết dứt điểm những vướng mắc để hoàn thành công tác GPMB cho Dự án, sớm bàn giao mặt bằng các vị trí còn lại cho các đơn vị thi công đáp ứng tiến độ thực hiện Dự án.</w:t>
            </w:r>
          </w:p>
          <w:p w14:paraId="5372B426" w14:textId="77777777" w:rsidR="005C188D" w:rsidRPr="007C1EF6" w:rsidRDefault="005C188D" w:rsidP="0042173F">
            <w:pPr>
              <w:jc w:val="both"/>
              <w:rPr>
                <w:sz w:val="23"/>
                <w:szCs w:val="23"/>
              </w:rPr>
            </w:pPr>
            <w:r w:rsidRPr="007C1EF6">
              <w:rPr>
                <w:sz w:val="23"/>
                <w:szCs w:val="23"/>
              </w:rPr>
              <w:t>- Rà soát, xây dựng phương án cân đối vốn cho dự án đảm bảo đủ vốn theo chủ trương đầu tư điều chỉnh dự án được phê duyệt, trong đó lưu ý việc bố trí vốn NSĐP để phục vụ công tác GPMB đảm bảo quy định.</w:t>
            </w:r>
          </w:p>
          <w:p w14:paraId="2B1BF1BB" w14:textId="7275F9E8" w:rsidR="005C188D" w:rsidRPr="007C1EF6" w:rsidRDefault="005C188D" w:rsidP="0042173F">
            <w:pPr>
              <w:jc w:val="both"/>
              <w:rPr>
                <w:sz w:val="23"/>
                <w:szCs w:val="23"/>
              </w:rPr>
            </w:pPr>
            <w:r w:rsidRPr="007C1EF6">
              <w:rPr>
                <w:sz w:val="23"/>
                <w:szCs w:val="23"/>
              </w:rPr>
              <w:t>- Báo cáo Thủ tướng Chính phủ xem xét điều chỉnh quy mô tuyến 3 trong quy hoạch chung xây dựng Khu kinh tế Thái Bình, tỉnh Thái Bình đến năm 2040, tầm nhìn đến năm 2050.</w:t>
            </w:r>
          </w:p>
        </w:tc>
      </w:tr>
      <w:tr w:rsidR="005C188D" w:rsidRPr="007C1EF6" w14:paraId="0333AC6F" w14:textId="2F01B406" w:rsidTr="005C188D">
        <w:trPr>
          <w:trHeight w:val="170"/>
          <w:jc w:val="center"/>
        </w:trPr>
        <w:tc>
          <w:tcPr>
            <w:tcW w:w="199" w:type="pct"/>
          </w:tcPr>
          <w:p w14:paraId="22A06F9C" w14:textId="718C9C56" w:rsidR="005C188D" w:rsidRPr="007C1EF6" w:rsidRDefault="005C188D" w:rsidP="0042173F">
            <w:pPr>
              <w:pStyle w:val="ListParagraph"/>
              <w:widowControl w:val="0"/>
              <w:numPr>
                <w:ilvl w:val="0"/>
                <w:numId w:val="13"/>
              </w:numPr>
              <w:spacing w:after="0" w:line="240" w:lineRule="auto"/>
              <w:ind w:left="0" w:firstLine="170"/>
              <w:jc w:val="center"/>
              <w:rPr>
                <w:rFonts w:ascii="Times New Roman" w:hAnsi="Times New Roman"/>
                <w:sz w:val="23"/>
                <w:szCs w:val="23"/>
              </w:rPr>
            </w:pPr>
          </w:p>
        </w:tc>
        <w:tc>
          <w:tcPr>
            <w:tcW w:w="1221" w:type="pct"/>
          </w:tcPr>
          <w:p w14:paraId="7FE673CF" w14:textId="4F243185" w:rsidR="005C188D" w:rsidRPr="007C1EF6" w:rsidRDefault="005C188D" w:rsidP="0042173F">
            <w:pPr>
              <w:ind w:right="95"/>
              <w:jc w:val="both"/>
              <w:rPr>
                <w:sz w:val="23"/>
                <w:szCs w:val="23"/>
              </w:rPr>
            </w:pPr>
            <w:r w:rsidRPr="007C1EF6">
              <w:rPr>
                <w:bCs/>
                <w:sz w:val="23"/>
                <w:szCs w:val="23"/>
                <w:lang w:val="de-DE"/>
              </w:rPr>
              <w:t>UBND tỉnh Hưng Yên</w:t>
            </w:r>
          </w:p>
        </w:tc>
        <w:tc>
          <w:tcPr>
            <w:tcW w:w="1601" w:type="pct"/>
          </w:tcPr>
          <w:p w14:paraId="46F5B89F" w14:textId="05CFF613" w:rsidR="005C188D" w:rsidRPr="007C1EF6" w:rsidRDefault="005C188D" w:rsidP="0042173F">
            <w:pPr>
              <w:ind w:right="31"/>
              <w:jc w:val="both"/>
              <w:rPr>
                <w:rFonts w:eastAsia="MS Mincho"/>
                <w:bCs/>
                <w:sz w:val="23"/>
                <w:szCs w:val="23"/>
              </w:rPr>
            </w:pPr>
            <w:r w:rsidRPr="007C1EF6">
              <w:rPr>
                <w:bCs/>
                <w:sz w:val="23"/>
                <w:szCs w:val="23"/>
                <w:lang w:val="de-DE"/>
              </w:rPr>
              <w:t>Hoạt động xây dựng và việc quản lý, sử dụng vốn đầu tư Dự án đường Tân Phúc - Võng Phan (giao ĐT.378), tỉnh Hưng Yên</w:t>
            </w:r>
          </w:p>
        </w:tc>
        <w:tc>
          <w:tcPr>
            <w:tcW w:w="1980" w:type="pct"/>
          </w:tcPr>
          <w:p w14:paraId="3F8202D9" w14:textId="77777777" w:rsidR="005C188D" w:rsidRPr="007C1EF6" w:rsidRDefault="005C188D" w:rsidP="0042173F">
            <w:pPr>
              <w:tabs>
                <w:tab w:val="left" w:leader="dot" w:pos="8900"/>
              </w:tabs>
              <w:ind w:right="66"/>
              <w:jc w:val="both"/>
              <w:rPr>
                <w:bCs/>
                <w:sz w:val="23"/>
                <w:szCs w:val="23"/>
                <w:lang w:val="de-DE"/>
              </w:rPr>
            </w:pPr>
            <w:r w:rsidRPr="007C1EF6">
              <w:rPr>
                <w:bCs/>
                <w:sz w:val="23"/>
                <w:szCs w:val="23"/>
                <w:lang w:val="de-DE"/>
              </w:rPr>
              <w:t>Đề nghị UBND tỉnh Hưng Yên chỉ đạo các đơn vị có liên quan chấn chỉnh rút kinh nghiệm trong việc tham mưu đối với các nội dung sau</w:t>
            </w:r>
          </w:p>
          <w:p w14:paraId="79B41B24" w14:textId="77777777" w:rsidR="005C188D" w:rsidRPr="007C1EF6" w:rsidRDefault="005C188D" w:rsidP="0042173F">
            <w:pPr>
              <w:tabs>
                <w:tab w:val="left" w:leader="dot" w:pos="8900"/>
              </w:tabs>
              <w:ind w:right="66"/>
              <w:jc w:val="both"/>
              <w:rPr>
                <w:bCs/>
                <w:sz w:val="23"/>
                <w:szCs w:val="23"/>
                <w:lang w:val="de-DE"/>
              </w:rPr>
            </w:pPr>
            <w:r w:rsidRPr="007C1EF6">
              <w:rPr>
                <w:bCs/>
                <w:sz w:val="23"/>
                <w:szCs w:val="23"/>
                <w:lang w:val="de-DE"/>
              </w:rPr>
              <w:t>2.1. Phê duyệt dự án còn thiếu nội dung dự kiến bố trí kế hoạch vốn theo tiến độ thực hiện dự án và phương án bồi thường, hỗ trợ, tái định cư theo quy định.</w:t>
            </w:r>
          </w:p>
          <w:p w14:paraId="0D822BE4" w14:textId="77777777" w:rsidR="005C188D" w:rsidRPr="007C1EF6" w:rsidRDefault="005C188D" w:rsidP="0042173F">
            <w:pPr>
              <w:tabs>
                <w:tab w:val="left" w:leader="dot" w:pos="8900"/>
              </w:tabs>
              <w:ind w:right="66"/>
              <w:jc w:val="both"/>
              <w:rPr>
                <w:bCs/>
                <w:sz w:val="23"/>
                <w:szCs w:val="23"/>
                <w:lang w:val="de-DE"/>
              </w:rPr>
            </w:pPr>
            <w:r w:rsidRPr="007C1EF6">
              <w:rPr>
                <w:bCs/>
                <w:sz w:val="23"/>
                <w:szCs w:val="23"/>
                <w:lang w:val="de-DE"/>
              </w:rPr>
              <w:t>2.2. Phân bổ kế hoạch vốn cho dự án còn vượt Kế hoạch đầu tư công trung hạn 05 năm giai đoạn 2021-2025 và vượt tổng mức đầu tư dự án; giao chỉ tiêu kế hoạch vốn năm 2025 cho dự án còn vượt đề xuất của Chủ đầu tư.</w:t>
            </w:r>
          </w:p>
          <w:p w14:paraId="152365FA" w14:textId="55DA8E63" w:rsidR="005C188D" w:rsidRPr="007C1EF6" w:rsidRDefault="005C188D" w:rsidP="0042173F">
            <w:pPr>
              <w:tabs>
                <w:tab w:val="left" w:leader="dot" w:pos="8900"/>
              </w:tabs>
              <w:ind w:right="66"/>
              <w:jc w:val="both"/>
              <w:rPr>
                <w:sz w:val="23"/>
                <w:szCs w:val="23"/>
              </w:rPr>
            </w:pPr>
            <w:r w:rsidRPr="007C1EF6">
              <w:rPr>
                <w:bCs/>
                <w:sz w:val="23"/>
                <w:szCs w:val="23"/>
                <w:lang w:val="de-DE"/>
              </w:rPr>
              <w:t>2.3. Còn một số Hạng mục công việc chính của gói thầu xây lắp chưa đạt tiến độ theo bản tiến độ thi công tổng thể được Chủ đầu tư và Tư vấn giám sát chấp thuận có thể ảnh hưởng đến tiến độ thực hiện dự án.</w:t>
            </w:r>
          </w:p>
        </w:tc>
      </w:tr>
      <w:tr w:rsidR="005C188D" w:rsidRPr="007C1EF6" w14:paraId="653FAAA6" w14:textId="6D540D2E" w:rsidTr="005C188D">
        <w:trPr>
          <w:trHeight w:val="170"/>
          <w:jc w:val="center"/>
        </w:trPr>
        <w:tc>
          <w:tcPr>
            <w:tcW w:w="199" w:type="pct"/>
          </w:tcPr>
          <w:p w14:paraId="551434FE" w14:textId="77777777" w:rsidR="005C188D" w:rsidRPr="007C1EF6" w:rsidRDefault="005C188D" w:rsidP="0042173F">
            <w:pPr>
              <w:pStyle w:val="ListParagraph"/>
              <w:widowControl w:val="0"/>
              <w:numPr>
                <w:ilvl w:val="0"/>
                <w:numId w:val="13"/>
              </w:numPr>
              <w:spacing w:after="0" w:line="240" w:lineRule="auto"/>
              <w:ind w:left="0" w:firstLine="170"/>
              <w:jc w:val="center"/>
              <w:rPr>
                <w:rFonts w:ascii="Times New Roman" w:hAnsi="Times New Roman"/>
                <w:sz w:val="23"/>
                <w:szCs w:val="23"/>
              </w:rPr>
            </w:pPr>
          </w:p>
        </w:tc>
        <w:tc>
          <w:tcPr>
            <w:tcW w:w="1221" w:type="pct"/>
          </w:tcPr>
          <w:p w14:paraId="0341E2A6" w14:textId="46CBD430" w:rsidR="005C188D" w:rsidRPr="007C1EF6" w:rsidRDefault="005C188D" w:rsidP="0042173F">
            <w:pPr>
              <w:ind w:right="95"/>
              <w:jc w:val="both"/>
              <w:rPr>
                <w:bCs/>
                <w:iCs/>
                <w:sz w:val="23"/>
                <w:szCs w:val="23"/>
                <w:lang w:val="nl-NL"/>
              </w:rPr>
            </w:pPr>
            <w:r w:rsidRPr="007C1EF6">
              <w:rPr>
                <w:sz w:val="23"/>
                <w:szCs w:val="23"/>
              </w:rPr>
              <w:t>Bộ Xây dựng</w:t>
            </w:r>
          </w:p>
        </w:tc>
        <w:tc>
          <w:tcPr>
            <w:tcW w:w="1601" w:type="pct"/>
          </w:tcPr>
          <w:p w14:paraId="11A09CC6" w14:textId="5FF6CDDA" w:rsidR="005C188D" w:rsidRPr="007C1EF6" w:rsidRDefault="005C188D" w:rsidP="0042173F">
            <w:pPr>
              <w:ind w:right="31"/>
              <w:jc w:val="both"/>
              <w:rPr>
                <w:sz w:val="23"/>
                <w:szCs w:val="23"/>
                <w:lang w:val="vi-VN"/>
              </w:rPr>
            </w:pPr>
            <w:r w:rsidRPr="007C1EF6">
              <w:rPr>
                <w:rFonts w:eastAsia="Calibri"/>
                <w:bCs/>
                <w:sz w:val="23"/>
                <w:szCs w:val="23"/>
                <w:lang w:val="nl-NL"/>
              </w:rPr>
              <w:t>Hoạt động xây dựng và việc quản lý, sử dụng vốn đầu tư Dự án kết nối giao thông các tỉnh miền núi phía Bắc</w:t>
            </w:r>
          </w:p>
        </w:tc>
        <w:tc>
          <w:tcPr>
            <w:tcW w:w="1980" w:type="pct"/>
          </w:tcPr>
          <w:p w14:paraId="281ECD83" w14:textId="77777777" w:rsidR="005C188D" w:rsidRPr="007C1EF6" w:rsidRDefault="005C188D" w:rsidP="0042173F">
            <w:pPr>
              <w:tabs>
                <w:tab w:val="left" w:leader="dot" w:pos="8900"/>
              </w:tabs>
              <w:ind w:right="66"/>
              <w:jc w:val="both"/>
              <w:rPr>
                <w:sz w:val="23"/>
                <w:szCs w:val="23"/>
              </w:rPr>
            </w:pPr>
            <w:r w:rsidRPr="007C1EF6">
              <w:rPr>
                <w:sz w:val="23"/>
                <w:szCs w:val="23"/>
              </w:rPr>
              <w:t>- Chỉ đạo Ban quản lý dự án 2 và các đơn vị liên quan nghiêm túc thực hiện các kết luận, kiến nghị của Kiểm toán nhà nước.</w:t>
            </w:r>
          </w:p>
          <w:p w14:paraId="59AB20B0" w14:textId="40BED4E2" w:rsidR="005C188D" w:rsidRPr="007C1EF6" w:rsidRDefault="005C188D" w:rsidP="0042173F">
            <w:pPr>
              <w:jc w:val="both"/>
              <w:rPr>
                <w:sz w:val="23"/>
                <w:szCs w:val="23"/>
                <w:lang w:val="vi-VN"/>
              </w:rPr>
            </w:pPr>
            <w:r w:rsidRPr="007C1EF6">
              <w:rPr>
                <w:sz w:val="23"/>
                <w:szCs w:val="23"/>
              </w:rPr>
              <w:lastRenderedPageBreak/>
              <w:t>- Báo cáo Chính phủ đàm phán bên Tài trợ để gia hạn hiệp định khoản vay theo tiến độ điều chỉnh dự án.</w:t>
            </w:r>
          </w:p>
        </w:tc>
      </w:tr>
      <w:tr w:rsidR="005C188D" w:rsidRPr="007C1EF6" w14:paraId="5F32DD00" w14:textId="7BA279B8" w:rsidTr="005C188D">
        <w:trPr>
          <w:trHeight w:val="170"/>
          <w:jc w:val="center"/>
        </w:trPr>
        <w:tc>
          <w:tcPr>
            <w:tcW w:w="199" w:type="pct"/>
          </w:tcPr>
          <w:p w14:paraId="706AC86E" w14:textId="029E76E5" w:rsidR="005C188D" w:rsidRPr="007C1EF6" w:rsidRDefault="005C188D" w:rsidP="0042173F">
            <w:pPr>
              <w:pStyle w:val="ListParagraph"/>
              <w:widowControl w:val="0"/>
              <w:numPr>
                <w:ilvl w:val="0"/>
                <w:numId w:val="13"/>
              </w:numPr>
              <w:spacing w:after="0" w:line="240" w:lineRule="auto"/>
              <w:ind w:left="0" w:firstLine="170"/>
              <w:jc w:val="center"/>
              <w:rPr>
                <w:rFonts w:ascii="Times New Roman" w:hAnsi="Times New Roman"/>
                <w:sz w:val="23"/>
                <w:szCs w:val="23"/>
              </w:rPr>
            </w:pPr>
          </w:p>
        </w:tc>
        <w:tc>
          <w:tcPr>
            <w:tcW w:w="1221" w:type="pct"/>
          </w:tcPr>
          <w:p w14:paraId="4B982750" w14:textId="507D8945" w:rsidR="005C188D" w:rsidRPr="007C1EF6" w:rsidRDefault="005C188D" w:rsidP="0042173F">
            <w:pPr>
              <w:ind w:right="238"/>
              <w:jc w:val="both"/>
              <w:rPr>
                <w:sz w:val="23"/>
                <w:szCs w:val="23"/>
              </w:rPr>
            </w:pPr>
            <w:r w:rsidRPr="007C1EF6">
              <w:rPr>
                <w:sz w:val="23"/>
                <w:szCs w:val="23"/>
              </w:rPr>
              <w:t>UBND tỉnh Hà Nam</w:t>
            </w:r>
          </w:p>
        </w:tc>
        <w:tc>
          <w:tcPr>
            <w:tcW w:w="1601" w:type="pct"/>
          </w:tcPr>
          <w:p w14:paraId="27290281" w14:textId="3DCE8CEF" w:rsidR="005C188D" w:rsidRPr="007C1EF6" w:rsidRDefault="005C188D" w:rsidP="0042173F">
            <w:pPr>
              <w:ind w:right="31"/>
              <w:jc w:val="both"/>
              <w:rPr>
                <w:rFonts w:eastAsia="MS Mincho"/>
                <w:bCs/>
                <w:sz w:val="23"/>
                <w:szCs w:val="23"/>
                <w:lang w:val="it-IT"/>
              </w:rPr>
            </w:pPr>
            <w:r w:rsidRPr="007C1EF6">
              <w:rPr>
                <w:rFonts w:eastAsia="MS Mincho"/>
                <w:bCs/>
                <w:sz w:val="23"/>
                <w:szCs w:val="23"/>
                <w:lang w:val="nl-NL"/>
              </w:rPr>
              <w:t>Hoạt động xây dựng và việc quản lý, sử dụng vốn đầu tư Dự án đầu tư xây dựng tuyến đường kết nối từ QL.1A giao với đường cao tốc Cầu Giẽ - Ninh Bình bằng nút giao Liêm Sơn đi qua huyện Bình Lục giao với đường  QL.21A, QL.21B, đường nối hai cao tốc Hà Nội - Hải Phòng và Hà Nội - Ninh Bình; kết nối hai di tích quốc gia đặc biệt là đền Trần Thương (tỉnh Hà Nam) và Khu di tích lịch sử - Văn hóa đền Trần (tỉnh Nam Định)</w:t>
            </w:r>
          </w:p>
        </w:tc>
        <w:tc>
          <w:tcPr>
            <w:tcW w:w="1980" w:type="pct"/>
          </w:tcPr>
          <w:p w14:paraId="7ECFF027" w14:textId="77777777" w:rsidR="005C188D" w:rsidRPr="007C1EF6" w:rsidRDefault="005C188D" w:rsidP="0042173F">
            <w:pPr>
              <w:tabs>
                <w:tab w:val="left" w:leader="dot" w:pos="8900"/>
              </w:tabs>
              <w:ind w:right="66"/>
              <w:jc w:val="both"/>
              <w:rPr>
                <w:sz w:val="23"/>
                <w:szCs w:val="23"/>
              </w:rPr>
            </w:pPr>
            <w:r w:rsidRPr="007C1EF6">
              <w:rPr>
                <w:sz w:val="23"/>
                <w:szCs w:val="23"/>
              </w:rPr>
              <w:t xml:space="preserve">- Chỉ đạo Chủ đầu tư, các đơn vị thực hiện công tác GPMB của Dự án và các đơn vị liên quan tăng cường phối hợp, khẩn trương có biện pháp giải quyết, xử lý dứt điểm đối với các vị trí chưa hoàn thành công tác GPMB để đáp ứng tiến độ thực hiện Dự án. </w:t>
            </w:r>
          </w:p>
          <w:p w14:paraId="0A3CFF62" w14:textId="77777777" w:rsidR="005C188D" w:rsidRPr="007C1EF6" w:rsidRDefault="005C188D" w:rsidP="0042173F">
            <w:pPr>
              <w:tabs>
                <w:tab w:val="left" w:leader="dot" w:pos="8900"/>
              </w:tabs>
              <w:ind w:right="66"/>
              <w:jc w:val="both"/>
              <w:rPr>
                <w:sz w:val="23"/>
                <w:szCs w:val="23"/>
              </w:rPr>
            </w:pPr>
            <w:r w:rsidRPr="007C1EF6">
              <w:rPr>
                <w:sz w:val="23"/>
                <w:szCs w:val="23"/>
              </w:rPr>
              <w:t>- Tiếp tục quan tâm, bố trí đầy đủ, kịp thời nhu cầu vốn của Dự án để đảm bảo thực hiện, hoàn thành đúng tiến độ kế hoạch đã được cấp có thẩm quyền phê duyệt.</w:t>
            </w:r>
          </w:p>
          <w:p w14:paraId="611E05C7" w14:textId="77777777" w:rsidR="005C188D" w:rsidRPr="007C1EF6" w:rsidRDefault="005C188D" w:rsidP="0042173F">
            <w:pPr>
              <w:tabs>
                <w:tab w:val="left" w:leader="dot" w:pos="8900"/>
              </w:tabs>
              <w:ind w:right="66"/>
              <w:jc w:val="both"/>
              <w:rPr>
                <w:sz w:val="23"/>
                <w:szCs w:val="23"/>
              </w:rPr>
            </w:pPr>
            <w:r w:rsidRPr="007C1EF6">
              <w:rPr>
                <w:sz w:val="23"/>
                <w:szCs w:val="23"/>
              </w:rPr>
              <w:t>- Chỉ đạo các cơ quan tham mưu liên quan nghiên cứu, xây dựng và trình UBND tỉnh ban hành một số văn bản liên quan đến công tác quản lý cây xanh đô thị theo quy định tại Nghị định số 64/2010/NĐ-CP ngày 11/6/2010 về quản lý cây xanh đô thị và Thông tư số 14/2017/TT-BXD ngày 28/12/2017 Hướng dẫn xác định và quản lý chi phí dịch vụ công ích đô thị.</w:t>
            </w:r>
          </w:p>
          <w:p w14:paraId="233E3ED0" w14:textId="57D07F74" w:rsidR="005C188D" w:rsidRPr="007C1EF6" w:rsidRDefault="005C188D" w:rsidP="0042173F">
            <w:pPr>
              <w:jc w:val="both"/>
              <w:rPr>
                <w:sz w:val="23"/>
                <w:szCs w:val="23"/>
              </w:rPr>
            </w:pPr>
            <w:r w:rsidRPr="007C1EF6">
              <w:rPr>
                <w:sz w:val="23"/>
                <w:szCs w:val="23"/>
              </w:rPr>
              <w:t>- Tổ chức chấn chỉnh rút kinh nghiệm tập thể, cá nhân đối với những tồn tại, hạn chế, sai sót trong: (i) Công tác lập, thẩm tra, thẩm định, trình phê duyệt chủ trương đầu tư và điều chỉnh chủ trương đầu tư dự án; (ii) Công tác lập, thẩm tra, thẩm định, phê duyệt dự án và điều chỉnh dự án; (iii) Công tác GPMB phục vụ thi công dự án.</w:t>
            </w:r>
          </w:p>
        </w:tc>
      </w:tr>
      <w:tr w:rsidR="005C188D" w:rsidRPr="007C1EF6" w14:paraId="703A7B30" w14:textId="4A33B550" w:rsidTr="005C188D">
        <w:trPr>
          <w:trHeight w:val="170"/>
          <w:jc w:val="center"/>
        </w:trPr>
        <w:tc>
          <w:tcPr>
            <w:tcW w:w="199" w:type="pct"/>
          </w:tcPr>
          <w:p w14:paraId="3D55393E" w14:textId="08AEF864" w:rsidR="005C188D" w:rsidRPr="007C1EF6" w:rsidRDefault="005C188D" w:rsidP="0042173F">
            <w:pPr>
              <w:pStyle w:val="ListParagraph"/>
              <w:widowControl w:val="0"/>
              <w:numPr>
                <w:ilvl w:val="0"/>
                <w:numId w:val="13"/>
              </w:numPr>
              <w:spacing w:after="0" w:line="240" w:lineRule="auto"/>
              <w:ind w:left="0" w:firstLine="170"/>
              <w:jc w:val="center"/>
              <w:rPr>
                <w:rFonts w:ascii="Times New Roman" w:hAnsi="Times New Roman"/>
                <w:sz w:val="23"/>
                <w:szCs w:val="23"/>
              </w:rPr>
            </w:pPr>
          </w:p>
        </w:tc>
        <w:tc>
          <w:tcPr>
            <w:tcW w:w="1221" w:type="pct"/>
          </w:tcPr>
          <w:p w14:paraId="0981DD1D" w14:textId="15CDB92F" w:rsidR="005C188D" w:rsidRPr="007C1EF6" w:rsidRDefault="005C188D" w:rsidP="0042173F">
            <w:pPr>
              <w:ind w:right="238"/>
              <w:jc w:val="both"/>
              <w:rPr>
                <w:sz w:val="23"/>
                <w:szCs w:val="23"/>
              </w:rPr>
            </w:pPr>
            <w:r w:rsidRPr="007C1EF6">
              <w:rPr>
                <w:sz w:val="23"/>
                <w:szCs w:val="23"/>
              </w:rPr>
              <w:t>Bộ Xây dựng</w:t>
            </w:r>
          </w:p>
        </w:tc>
        <w:tc>
          <w:tcPr>
            <w:tcW w:w="1601" w:type="pct"/>
          </w:tcPr>
          <w:p w14:paraId="560C4FFD" w14:textId="2BA0F010" w:rsidR="005C188D" w:rsidRPr="007C1EF6" w:rsidRDefault="005C188D" w:rsidP="0042173F">
            <w:pPr>
              <w:ind w:right="31"/>
              <w:jc w:val="both"/>
              <w:rPr>
                <w:rFonts w:eastAsia="MS Mincho"/>
                <w:bCs/>
                <w:sz w:val="23"/>
                <w:szCs w:val="23"/>
                <w:lang w:val="it-IT"/>
              </w:rPr>
            </w:pPr>
            <w:r w:rsidRPr="007C1EF6">
              <w:rPr>
                <w:rFonts w:eastAsia="MS Mincho"/>
                <w:bCs/>
                <w:sz w:val="23"/>
                <w:szCs w:val="23"/>
                <w:lang w:val="nl-NL"/>
              </w:rPr>
              <w:t>Hoạt động xây dựng và việc quản lý, sử dụng vốn đầu tư Dự án đầu tư xây dựng tuyến đường kết nối từ QL.1A giao với đường cao tốc Cầu Giẽ - Ninh Bình bằng nút giao Liêm Sơn đi qua huyện Bình Lục giao với đường  QL.21A, QL.21B, đường nối hai cao tốc Hà Nội - Hải Phòng và Hà Nội - Ninh Bình; kết nối hai di tích quốc gia đặc biệt là đền Trần Thương (tỉnh Hà Nam) và Khu di tích lịch sử - Văn hóa đền Trần (tỉnh Nam Định)</w:t>
            </w:r>
          </w:p>
        </w:tc>
        <w:tc>
          <w:tcPr>
            <w:tcW w:w="1980" w:type="pct"/>
          </w:tcPr>
          <w:p w14:paraId="669D39E4" w14:textId="77777777" w:rsidR="005C188D" w:rsidRPr="007C1EF6" w:rsidRDefault="005C188D" w:rsidP="0042173F">
            <w:pPr>
              <w:tabs>
                <w:tab w:val="left" w:leader="dot" w:pos="8900"/>
              </w:tabs>
              <w:ind w:right="66"/>
              <w:jc w:val="both"/>
              <w:rPr>
                <w:sz w:val="23"/>
                <w:szCs w:val="23"/>
              </w:rPr>
            </w:pPr>
            <w:r w:rsidRPr="007C1EF6">
              <w:rPr>
                <w:sz w:val="23"/>
                <w:szCs w:val="23"/>
              </w:rPr>
              <w:t xml:space="preserve">Đề nghị Bộ Xây dựng chỉ đạo Cục Đường bộ Việt Nam và các đơn vị liên quan:  </w:t>
            </w:r>
          </w:p>
          <w:p w14:paraId="38C2DF95" w14:textId="77777777" w:rsidR="005C188D" w:rsidRPr="007C1EF6" w:rsidRDefault="005C188D" w:rsidP="0042173F">
            <w:pPr>
              <w:tabs>
                <w:tab w:val="left" w:leader="dot" w:pos="8900"/>
              </w:tabs>
              <w:ind w:right="66"/>
              <w:jc w:val="both"/>
              <w:rPr>
                <w:sz w:val="23"/>
                <w:szCs w:val="23"/>
              </w:rPr>
            </w:pPr>
            <w:r w:rsidRPr="007C1EF6">
              <w:rPr>
                <w:sz w:val="23"/>
                <w:szCs w:val="23"/>
              </w:rPr>
              <w:t xml:space="preserve">- Kiểm tra, rà soát lại quy định việc không áp dụng thời gian tính lún theo thời gian khai thác mặt đường và tính toán độ lún cố kết thứ cấp (độ lún từ biến) tại Quyết định số 1365/QĐ-CĐBVN; </w:t>
            </w:r>
          </w:p>
          <w:p w14:paraId="04618D6E" w14:textId="1443D688" w:rsidR="005C188D" w:rsidRPr="007C1EF6" w:rsidRDefault="005C188D" w:rsidP="0042173F">
            <w:pPr>
              <w:jc w:val="both"/>
              <w:rPr>
                <w:sz w:val="23"/>
                <w:szCs w:val="23"/>
              </w:rPr>
            </w:pPr>
          </w:p>
        </w:tc>
      </w:tr>
      <w:tr w:rsidR="005C188D" w:rsidRPr="007C1EF6" w14:paraId="0A6FDC97" w14:textId="1CBD6FE5" w:rsidTr="005C188D">
        <w:trPr>
          <w:trHeight w:val="170"/>
          <w:jc w:val="center"/>
        </w:trPr>
        <w:tc>
          <w:tcPr>
            <w:tcW w:w="199" w:type="pct"/>
          </w:tcPr>
          <w:p w14:paraId="0E94D1CF" w14:textId="01AB592C" w:rsidR="005C188D" w:rsidRPr="007C1EF6" w:rsidRDefault="005C188D" w:rsidP="0042173F">
            <w:pPr>
              <w:pStyle w:val="ListParagraph"/>
              <w:widowControl w:val="0"/>
              <w:numPr>
                <w:ilvl w:val="0"/>
                <w:numId w:val="13"/>
              </w:numPr>
              <w:spacing w:after="0" w:line="240" w:lineRule="auto"/>
              <w:ind w:left="0" w:firstLine="170"/>
              <w:jc w:val="center"/>
              <w:rPr>
                <w:rFonts w:ascii="Times New Roman" w:hAnsi="Times New Roman"/>
                <w:sz w:val="23"/>
                <w:szCs w:val="23"/>
              </w:rPr>
            </w:pPr>
          </w:p>
        </w:tc>
        <w:tc>
          <w:tcPr>
            <w:tcW w:w="1221" w:type="pct"/>
          </w:tcPr>
          <w:p w14:paraId="7E419EEE" w14:textId="7E8DDFCF" w:rsidR="005C188D" w:rsidRPr="007C1EF6" w:rsidRDefault="005C188D" w:rsidP="0042173F">
            <w:pPr>
              <w:ind w:right="238"/>
              <w:jc w:val="both"/>
              <w:rPr>
                <w:sz w:val="23"/>
                <w:szCs w:val="23"/>
              </w:rPr>
            </w:pPr>
            <w:r w:rsidRPr="007C1EF6">
              <w:rPr>
                <w:sz w:val="23"/>
                <w:szCs w:val="23"/>
              </w:rPr>
              <w:t>Bộ Xây dựng</w:t>
            </w:r>
          </w:p>
        </w:tc>
        <w:tc>
          <w:tcPr>
            <w:tcW w:w="1601" w:type="pct"/>
          </w:tcPr>
          <w:p w14:paraId="367AFB29" w14:textId="545CD96F" w:rsidR="005C188D" w:rsidRPr="007C1EF6" w:rsidRDefault="005C188D" w:rsidP="0042173F">
            <w:pPr>
              <w:ind w:right="31"/>
              <w:jc w:val="both"/>
              <w:rPr>
                <w:rFonts w:eastAsia="MS Mincho"/>
                <w:bCs/>
                <w:sz w:val="23"/>
                <w:szCs w:val="23"/>
                <w:lang w:val="it-IT"/>
              </w:rPr>
            </w:pPr>
            <w:r w:rsidRPr="007C1EF6">
              <w:rPr>
                <w:rFonts w:eastAsia="MS Mincho"/>
                <w:bCs/>
                <w:sz w:val="23"/>
                <w:szCs w:val="23"/>
                <w:lang w:val="pt-BR"/>
              </w:rPr>
              <w:t xml:space="preserve">Hoạt động xây dựng và việc quản lý, sử dụng vốn đầu tư Dự án đầu tư xây dựng đường bộ cao </w:t>
            </w:r>
            <w:r w:rsidRPr="007C1EF6">
              <w:rPr>
                <w:rFonts w:eastAsia="MS Mincho"/>
                <w:bCs/>
                <w:sz w:val="23"/>
                <w:szCs w:val="23"/>
                <w:lang w:val="pt-BR"/>
              </w:rPr>
              <w:lastRenderedPageBreak/>
              <w:t>tốc Biên Hòa – Vũng Tàu giai đoạn 1 (dự án thành phần 2)</w:t>
            </w:r>
          </w:p>
        </w:tc>
        <w:tc>
          <w:tcPr>
            <w:tcW w:w="1980" w:type="pct"/>
          </w:tcPr>
          <w:p w14:paraId="7CCB6129" w14:textId="77777777" w:rsidR="005C188D" w:rsidRPr="007C1EF6" w:rsidRDefault="005C188D" w:rsidP="0042173F">
            <w:pPr>
              <w:jc w:val="both"/>
              <w:rPr>
                <w:sz w:val="23"/>
                <w:szCs w:val="23"/>
                <w:lang w:val="pt-BR"/>
              </w:rPr>
            </w:pPr>
            <w:r w:rsidRPr="007C1EF6">
              <w:rPr>
                <w:sz w:val="23"/>
                <w:szCs w:val="23"/>
                <w:lang w:val="pt-BR"/>
              </w:rPr>
              <w:lastRenderedPageBreak/>
              <w:t>- Chỉ đạo Ban QLDA 85 thực hiện đầy đủ, nghiêm túc, đúng tiến độ các kiến nghị của Kiểm toán nhà nước.</w:t>
            </w:r>
          </w:p>
          <w:p w14:paraId="17A76DBC" w14:textId="742FDF20" w:rsidR="005C188D" w:rsidRPr="007C1EF6" w:rsidRDefault="005C188D" w:rsidP="0042173F">
            <w:pPr>
              <w:jc w:val="both"/>
              <w:rPr>
                <w:sz w:val="23"/>
                <w:szCs w:val="23"/>
              </w:rPr>
            </w:pPr>
            <w:r w:rsidRPr="007C1EF6">
              <w:rPr>
                <w:sz w:val="23"/>
                <w:szCs w:val="23"/>
                <w:lang w:val="pt-BR"/>
              </w:rPr>
              <w:lastRenderedPageBreak/>
              <w:t>- Kiểm tra, rà soát đánh giá hiệu quả kinh tế - kỹ thuật, mức độ ảnh hưởng đến tiến độ cung cấp vật liệu, tiến độ dự án đối với việc giao mỏ đất tại xã Phước Bình, xã Bàu Cạn huyện Long Thành, mỏ đất tại thị trấn Giao Long huyện Cẩm Mỹ với việc sử dụng đất tại khu vực quy hoạch nhà ga T3 Cảng Hàng không quốc tế Long Thành để thực hiện Dự án đầu tư xây dựng đường bộ cao tốc Biên Hòa - Vũng Tàu giai đoạn 1; báo cáo cấp có thẩm quyền nếu có dấu hiệu lãng phí vốn đầu tư.</w:t>
            </w:r>
          </w:p>
        </w:tc>
      </w:tr>
      <w:tr w:rsidR="005C188D" w:rsidRPr="007C1EF6" w14:paraId="408666F4" w14:textId="34C3D2CD" w:rsidTr="005C188D">
        <w:trPr>
          <w:trHeight w:val="170"/>
          <w:jc w:val="center"/>
        </w:trPr>
        <w:tc>
          <w:tcPr>
            <w:tcW w:w="199" w:type="pct"/>
          </w:tcPr>
          <w:p w14:paraId="006E383E" w14:textId="35AB4FEB" w:rsidR="005C188D" w:rsidRPr="007C1EF6" w:rsidRDefault="005C188D" w:rsidP="0042173F">
            <w:pPr>
              <w:pStyle w:val="ListParagraph"/>
              <w:widowControl w:val="0"/>
              <w:numPr>
                <w:ilvl w:val="0"/>
                <w:numId w:val="13"/>
              </w:numPr>
              <w:spacing w:after="0" w:line="240" w:lineRule="auto"/>
              <w:ind w:left="0" w:firstLine="170"/>
              <w:jc w:val="center"/>
              <w:rPr>
                <w:rFonts w:ascii="Times New Roman" w:hAnsi="Times New Roman"/>
                <w:sz w:val="23"/>
                <w:szCs w:val="23"/>
              </w:rPr>
            </w:pPr>
          </w:p>
        </w:tc>
        <w:tc>
          <w:tcPr>
            <w:tcW w:w="1221" w:type="pct"/>
          </w:tcPr>
          <w:p w14:paraId="1F705C85" w14:textId="05691F14" w:rsidR="005C188D" w:rsidRPr="007C1EF6" w:rsidRDefault="005C188D" w:rsidP="0042173F">
            <w:pPr>
              <w:ind w:right="238"/>
              <w:jc w:val="both"/>
              <w:rPr>
                <w:sz w:val="23"/>
                <w:szCs w:val="23"/>
              </w:rPr>
            </w:pPr>
            <w:r w:rsidRPr="007C1EF6">
              <w:rPr>
                <w:sz w:val="23"/>
                <w:szCs w:val="23"/>
              </w:rPr>
              <w:t>UBND thành phố Hải Phòng</w:t>
            </w:r>
          </w:p>
        </w:tc>
        <w:tc>
          <w:tcPr>
            <w:tcW w:w="1601" w:type="pct"/>
          </w:tcPr>
          <w:p w14:paraId="349A246C" w14:textId="094EBBC4" w:rsidR="005C188D" w:rsidRPr="007C1EF6" w:rsidRDefault="005C188D" w:rsidP="0042173F">
            <w:pPr>
              <w:ind w:right="31"/>
              <w:jc w:val="both"/>
              <w:rPr>
                <w:rFonts w:eastAsia="MS Mincho"/>
                <w:bCs/>
                <w:sz w:val="23"/>
                <w:szCs w:val="23"/>
                <w:lang w:val="it-IT"/>
              </w:rPr>
            </w:pPr>
            <w:r w:rsidRPr="007C1EF6">
              <w:rPr>
                <w:rFonts w:eastAsia="MS Mincho"/>
                <w:bCs/>
                <w:sz w:val="23"/>
                <w:szCs w:val="23"/>
                <w:lang w:val="it-IT"/>
              </w:rPr>
              <w:t>Hoạt động xây dựng và việc quản lý, sử dụng vốn đầu tư Dự án đầu tư xây dựng tuyến đường bộ ven biển đoạn qua địa bàn thành phố Hải Phòng và 09km trên địa bàn tỉnh Thái Bình theo hình thức đối tác công tư</w:t>
            </w:r>
          </w:p>
        </w:tc>
        <w:tc>
          <w:tcPr>
            <w:tcW w:w="1980" w:type="pct"/>
          </w:tcPr>
          <w:p w14:paraId="3DD56CCE" w14:textId="77777777" w:rsidR="005C188D" w:rsidRPr="007C1EF6" w:rsidRDefault="005C188D" w:rsidP="0042173F">
            <w:pPr>
              <w:jc w:val="both"/>
              <w:rPr>
                <w:sz w:val="23"/>
                <w:szCs w:val="23"/>
              </w:rPr>
            </w:pPr>
            <w:r w:rsidRPr="007C1EF6">
              <w:rPr>
                <w:sz w:val="23"/>
                <w:szCs w:val="23"/>
              </w:rPr>
              <w:t>(1) Chỉ đạo Ban QLDA thực hiện các kiến nghị của Kiểm toán nhà nước và báo cáo UBND thành phố Hải Phòng về tình hình thực hiện kiến nghị làm cơ sở xem xét xử lý các tồn đọng của Dự án như đã nêu trong Báo cáo kiểm toán. Đồng thời, tổ chức kiểm tra, làm rõ các nội dung có nguy cơ lãng phí như đã đánh giá ở trên, xác định nguyên nhân (chủ quan, khách quan) mức độ vi phạm, trách nhiệm tập thể, cá nhân có liên quan để xử lý theo quy định của pháp luật (nếu có) và có biện pháp khắc phục kịp thời.</w:t>
            </w:r>
          </w:p>
          <w:p w14:paraId="3FBBE10B" w14:textId="77777777" w:rsidR="005C188D" w:rsidRPr="007C1EF6" w:rsidRDefault="005C188D" w:rsidP="0042173F">
            <w:pPr>
              <w:jc w:val="both"/>
              <w:rPr>
                <w:sz w:val="23"/>
                <w:szCs w:val="23"/>
              </w:rPr>
            </w:pPr>
            <w:r w:rsidRPr="007C1EF6">
              <w:rPr>
                <w:sz w:val="23"/>
                <w:szCs w:val="23"/>
              </w:rPr>
              <w:t>(2) Chỉ đạo Ban QLDA và các bộ phận có liên quan phối hợp với NĐT, DNDA nhanh chóng hoàn thiện các thủ tục cần thiết theo quy định để có phương án xử lý dứt điểm các vướng mắc, tồn tại của Dự án; sớm tiếp tục triển khai thi công hoàn thiện công trình đưa vào khai thác sử dụng tránh lãng phí.</w:t>
            </w:r>
          </w:p>
          <w:p w14:paraId="39376764" w14:textId="25B54468" w:rsidR="005C188D" w:rsidRPr="007C1EF6" w:rsidRDefault="005C188D" w:rsidP="0042173F">
            <w:pPr>
              <w:jc w:val="both"/>
              <w:rPr>
                <w:sz w:val="23"/>
                <w:szCs w:val="23"/>
              </w:rPr>
            </w:pPr>
            <w:r w:rsidRPr="007C1EF6">
              <w:rPr>
                <w:sz w:val="23"/>
                <w:szCs w:val="23"/>
              </w:rPr>
              <w:t xml:space="preserve"> (3) Kiểm điểm, rút kinh nghiệm và xử lý theo quy định đối với một số tồn tại: không bố trí đủ vốn để thực hiện giải phóng mặt bằng trên địa bàn thành phố Hải Phòng, công tác GPMB của Dự án còn chậm; chưa xử lý dứt điểm các tồn đọng của Dự án (xem xét, quyết định hoặc chấp thuận thay đổi thiết kế theo quy định tại Điều 12. Hợp đồng BOT,….); để Dự án kéo dài và chậm làm rõ nguyên nhân chủ quan, khách quan ảnh hưởng đến tiến độ dự án.</w:t>
            </w:r>
          </w:p>
        </w:tc>
      </w:tr>
      <w:tr w:rsidR="005C188D" w:rsidRPr="007C1EF6" w14:paraId="1B9FEBF8" w14:textId="1BEA82B3" w:rsidTr="005C188D">
        <w:trPr>
          <w:trHeight w:val="170"/>
          <w:jc w:val="center"/>
        </w:trPr>
        <w:tc>
          <w:tcPr>
            <w:tcW w:w="199" w:type="pct"/>
          </w:tcPr>
          <w:p w14:paraId="7F286EE3" w14:textId="74660CBE" w:rsidR="005C188D" w:rsidRPr="007C1EF6" w:rsidRDefault="005C188D" w:rsidP="0042173F">
            <w:pPr>
              <w:pStyle w:val="ListParagraph"/>
              <w:widowControl w:val="0"/>
              <w:numPr>
                <w:ilvl w:val="0"/>
                <w:numId w:val="13"/>
              </w:numPr>
              <w:spacing w:after="0" w:line="240" w:lineRule="auto"/>
              <w:ind w:left="0" w:firstLine="170"/>
              <w:jc w:val="center"/>
              <w:rPr>
                <w:rFonts w:ascii="Times New Roman" w:hAnsi="Times New Roman"/>
                <w:sz w:val="23"/>
                <w:szCs w:val="23"/>
              </w:rPr>
            </w:pPr>
          </w:p>
        </w:tc>
        <w:tc>
          <w:tcPr>
            <w:tcW w:w="1221" w:type="pct"/>
          </w:tcPr>
          <w:p w14:paraId="4D32E8E9" w14:textId="527D15DA" w:rsidR="005C188D" w:rsidRPr="007C1EF6" w:rsidRDefault="005C188D" w:rsidP="0042173F">
            <w:pPr>
              <w:ind w:right="238"/>
              <w:jc w:val="both"/>
              <w:rPr>
                <w:sz w:val="23"/>
                <w:szCs w:val="23"/>
              </w:rPr>
            </w:pPr>
            <w:r w:rsidRPr="007C1EF6">
              <w:rPr>
                <w:sz w:val="23"/>
                <w:szCs w:val="23"/>
              </w:rPr>
              <w:t>UBND thành phố Hà Nội</w:t>
            </w:r>
          </w:p>
        </w:tc>
        <w:tc>
          <w:tcPr>
            <w:tcW w:w="1601" w:type="pct"/>
          </w:tcPr>
          <w:p w14:paraId="351E0298" w14:textId="29E779CF" w:rsidR="005C188D" w:rsidRPr="007C1EF6" w:rsidRDefault="005C188D" w:rsidP="0042173F">
            <w:pPr>
              <w:ind w:right="31"/>
              <w:jc w:val="both"/>
              <w:rPr>
                <w:rFonts w:eastAsia="Calibri"/>
                <w:sz w:val="23"/>
                <w:szCs w:val="23"/>
                <w:lang w:val="de-DE"/>
              </w:rPr>
            </w:pPr>
            <w:r w:rsidRPr="007C1EF6">
              <w:rPr>
                <w:rFonts w:eastAsia="MS Mincho"/>
                <w:bCs/>
                <w:sz w:val="23"/>
                <w:szCs w:val="23"/>
                <w:lang w:val="it-IT"/>
              </w:rPr>
              <w:t xml:space="preserve">Hoạt động xây dựng và việc quản lý, sử dụng vốn đầu tư Dự án xây dựng tuyến đường bộ trên cao dọc đường vành đai 2 đoạn từ cầu Vĩnh Tuy đến ngã Tư Sở, kết hợp với mở rộng theo quy </w:t>
            </w:r>
            <w:r w:rsidRPr="007C1EF6">
              <w:rPr>
                <w:rFonts w:eastAsia="MS Mincho"/>
                <w:bCs/>
                <w:sz w:val="23"/>
                <w:szCs w:val="23"/>
                <w:lang w:val="it-IT"/>
              </w:rPr>
              <w:lastRenderedPageBreak/>
              <w:t>hoạch phần đi bằng đoạn từ Vĩnh Tuy đến Ngã Tư Vọng theo hình thức Hợp đồng BT</w:t>
            </w:r>
          </w:p>
        </w:tc>
        <w:tc>
          <w:tcPr>
            <w:tcW w:w="1980" w:type="pct"/>
          </w:tcPr>
          <w:p w14:paraId="07FA0BAE" w14:textId="77777777" w:rsidR="005C188D" w:rsidRPr="007C1EF6" w:rsidRDefault="005C188D" w:rsidP="0042173F">
            <w:pPr>
              <w:jc w:val="both"/>
              <w:rPr>
                <w:sz w:val="23"/>
                <w:szCs w:val="23"/>
              </w:rPr>
            </w:pPr>
            <w:r w:rsidRPr="007C1EF6">
              <w:rPr>
                <w:sz w:val="23"/>
                <w:szCs w:val="23"/>
              </w:rPr>
              <w:lastRenderedPageBreak/>
              <w:t xml:space="preserve">Đề nghị UBND thành phố Hà Nội chỉ đạo, tổ chức thực hiện và kiểm tra, kiểm soát kết quả thực hiện của các đơn vị (trường hợp có sai phạm xác định trách nhiệm tập thể cá nhân và xử lý theo đúng qui định của pháp luật) đồng thời </w:t>
            </w:r>
            <w:r w:rsidRPr="007C1EF6">
              <w:rPr>
                <w:sz w:val="23"/>
                <w:szCs w:val="23"/>
              </w:rPr>
              <w:lastRenderedPageBreak/>
              <w:t>các đơn vị tự chịu trách nhiệm trước pháp luật về kết quả thực hiện của mình đối với các kiến nghị. Cụ thể:</w:t>
            </w:r>
          </w:p>
          <w:p w14:paraId="1E9ED4AD" w14:textId="77777777" w:rsidR="005C188D" w:rsidRPr="007C1EF6" w:rsidRDefault="005C188D" w:rsidP="0042173F">
            <w:pPr>
              <w:jc w:val="both"/>
              <w:rPr>
                <w:sz w:val="23"/>
                <w:szCs w:val="23"/>
              </w:rPr>
            </w:pPr>
            <w:r w:rsidRPr="007C1EF6">
              <w:rPr>
                <w:sz w:val="23"/>
                <w:szCs w:val="23"/>
              </w:rPr>
              <w:t>3.1. Đối với công tác quản lý đầu tư xây dựng:</w:t>
            </w:r>
          </w:p>
          <w:p w14:paraId="4E51A8BE" w14:textId="77777777" w:rsidR="005C188D" w:rsidRPr="007C1EF6" w:rsidRDefault="005C188D" w:rsidP="0042173F">
            <w:pPr>
              <w:jc w:val="both"/>
              <w:rPr>
                <w:sz w:val="23"/>
                <w:szCs w:val="23"/>
              </w:rPr>
            </w:pPr>
            <w:r w:rsidRPr="007C1EF6">
              <w:rPr>
                <w:sz w:val="23"/>
                <w:szCs w:val="23"/>
              </w:rPr>
              <w:t>(1) Chỉ đạo Ban Quản lý dự án đầu tư xây dựng công trình giao thông thành phố Hà Nội và các đơn vị liên quan nghiêm túc thực hiện các kết luận, kiến nghị của Kiểm toán nhà nước.</w:t>
            </w:r>
          </w:p>
          <w:p w14:paraId="2DC36E32" w14:textId="77777777" w:rsidR="005C188D" w:rsidRPr="007C1EF6" w:rsidRDefault="005C188D" w:rsidP="0042173F">
            <w:pPr>
              <w:jc w:val="both"/>
              <w:rPr>
                <w:sz w:val="23"/>
                <w:szCs w:val="23"/>
              </w:rPr>
            </w:pPr>
            <w:r w:rsidRPr="007C1EF6">
              <w:rPr>
                <w:sz w:val="23"/>
                <w:szCs w:val="23"/>
              </w:rPr>
              <w:t>(2) Chỉ đạo các đơn vi có liên quan khẩn trương hoàn thành việc bàn giao công trình cho cơ quan quản lý vận hành công trình sau đầu tư.</w:t>
            </w:r>
          </w:p>
          <w:p w14:paraId="3D674097" w14:textId="77777777" w:rsidR="005C188D" w:rsidRPr="007C1EF6" w:rsidRDefault="005C188D" w:rsidP="0042173F">
            <w:pPr>
              <w:jc w:val="both"/>
              <w:rPr>
                <w:sz w:val="23"/>
                <w:szCs w:val="23"/>
              </w:rPr>
            </w:pPr>
            <w:r w:rsidRPr="007C1EF6">
              <w:rPr>
                <w:sz w:val="23"/>
                <w:szCs w:val="23"/>
              </w:rPr>
              <w:t>3.2. Đối với công tác bồi thường hỗ trợ giải phóng mặt bằng:</w:t>
            </w:r>
          </w:p>
          <w:p w14:paraId="3D25C52F" w14:textId="77777777" w:rsidR="005C188D" w:rsidRPr="007C1EF6" w:rsidRDefault="005C188D" w:rsidP="0042173F">
            <w:pPr>
              <w:jc w:val="both"/>
              <w:rPr>
                <w:sz w:val="23"/>
                <w:szCs w:val="23"/>
              </w:rPr>
            </w:pPr>
            <w:r w:rsidRPr="007C1EF6">
              <w:rPr>
                <w:sz w:val="23"/>
                <w:szCs w:val="23"/>
              </w:rPr>
              <w:t>(1). Chỉ đạo các đơn vị, cá nhân có liên quan kiểm tra làm rõ và xử lý theo đúng quy định của pháp luật trong việc phê duyệt phương án đền bù còn có sai sót số tiền 444.013.661 đồng (Chi tiết tại Phụ biểu số 12GPMB/BCKT-DAĐT) và chịu trách nhiệm trước pháp luật đối với việc thực hiện của mình.</w:t>
            </w:r>
          </w:p>
          <w:p w14:paraId="6D0A7E3A" w14:textId="77777777" w:rsidR="005C188D" w:rsidRPr="007C1EF6" w:rsidRDefault="005C188D" w:rsidP="0042173F">
            <w:pPr>
              <w:jc w:val="both"/>
              <w:rPr>
                <w:sz w:val="23"/>
                <w:szCs w:val="23"/>
              </w:rPr>
            </w:pPr>
            <w:r w:rsidRPr="007C1EF6">
              <w:rPr>
                <w:sz w:val="23"/>
                <w:szCs w:val="23"/>
              </w:rPr>
              <w:t>(2). Chỉ đạo các đơn vị, cá nhân có liên quan kiểm tra làm rõ đối với các hộ có phần đất nằm trong hành lang bảo vệ lưới điện đã được đền bù theo quy định tại điểm a khoản 2 Điều 19 Quyết định số 10/2017/QĐ-UBND hay chưa. Nếu đã được bồi thường theo quy định tại điểm a khoản 2 Điều 19 Quyết định số 10/2017/QĐ-UBND thì báo cáo cấp có thẩm quyền xác định mức bồi thường khi nhà nước thu hồi đất đảm bảo đúng theo quy định và chịu trách nhiệm trước pháp luật đối với việc thực hiện của mình.</w:t>
            </w:r>
          </w:p>
          <w:p w14:paraId="46997553" w14:textId="77777777" w:rsidR="005C188D" w:rsidRPr="007C1EF6" w:rsidRDefault="005C188D" w:rsidP="0042173F">
            <w:pPr>
              <w:jc w:val="both"/>
              <w:rPr>
                <w:sz w:val="23"/>
                <w:szCs w:val="23"/>
              </w:rPr>
            </w:pPr>
            <w:r w:rsidRPr="007C1EF6">
              <w:rPr>
                <w:sz w:val="23"/>
                <w:szCs w:val="23"/>
              </w:rPr>
              <w:t xml:space="preserve">(3). Chỉ đạo các đơn vị, cá nhân có liên quan kiểm tra làm rõ các tồn tại được nêu tại điểm 2.2 (Phụ biểu 07.1GPMB/BCKT-DAĐT) và tại điểm 2.3 (Phụ biểu 07.2GPMB/BCKT-DAĐT) Mục 2 (Những tồn tại hạn chế). Nếu quá trình kiểm tra làm rõ không có sai sót liên quan đến giá trị của các phương án đã được phê duyệt thì tổ chức kiểm điểm chấn chỉnh rút kinh nghiệm khi đã để xảy ra các tồn tại được nêu tại Báo cáo kiểm toán. Nếu quá trình kiểm tra làm rõ phát hiện các sai sót làm ảnh hưởng đến giá trị các phương án đã được phê duyệt thì phải xử lý theo đúng quy định của </w:t>
            </w:r>
            <w:r w:rsidRPr="007C1EF6">
              <w:rPr>
                <w:sz w:val="23"/>
                <w:szCs w:val="23"/>
              </w:rPr>
              <w:lastRenderedPageBreak/>
              <w:t>pháp luật đối với các sai sót đó và chịu trách nhiệm trước pháp luật đối với việc thực hiện của mình.</w:t>
            </w:r>
          </w:p>
          <w:p w14:paraId="0836CD8B" w14:textId="77777777" w:rsidR="005C188D" w:rsidRPr="007C1EF6" w:rsidRDefault="005C188D" w:rsidP="0042173F">
            <w:pPr>
              <w:jc w:val="both"/>
              <w:rPr>
                <w:sz w:val="23"/>
                <w:szCs w:val="23"/>
              </w:rPr>
            </w:pPr>
            <w:r w:rsidRPr="007C1EF6">
              <w:rPr>
                <w:sz w:val="23"/>
                <w:szCs w:val="23"/>
              </w:rPr>
              <w:t>(4). Chỉ đạo các đơn vị, cá nhân có liên quan kiểm tra làm rõ nguyên nhân khách quan, chủ quan để xác định rõ trách nhiệm các tổ chức, cá nhân có liên quan để xử lý theo đúng quy định đối với việc: (i).Thu hồi đất chậm so với Theo Quyết định 5860/QĐ-UBND ngày 14/12/2012 của UBND thành phố Hà nội; (ii) Tiến độ thu hồi đất Đoạn cầu Vĩnh Tuy đến cầu Mai Động và Đoạn cầu Mai Động đến Ngã Tư Vọng chậm theo Kế hoạch được duyệt; (iii) UBND phường Vĩnh Tuy không ban hành thông báo thu hồi đất bổ sung mà vẫn sử dụng Thông báo số 800/TB-UBND ngày 28/11/2012 của UBND quận Hai Bà Trưng và chịu trách nhiệm trước pháp luật đối với việc thực hiện của mình.</w:t>
            </w:r>
          </w:p>
          <w:p w14:paraId="3977FF8D" w14:textId="77777777" w:rsidR="005C188D" w:rsidRPr="007C1EF6" w:rsidRDefault="005C188D" w:rsidP="0042173F">
            <w:pPr>
              <w:jc w:val="both"/>
              <w:rPr>
                <w:sz w:val="23"/>
                <w:szCs w:val="23"/>
              </w:rPr>
            </w:pPr>
            <w:r w:rsidRPr="007C1EF6">
              <w:rPr>
                <w:sz w:val="23"/>
                <w:szCs w:val="23"/>
              </w:rPr>
              <w:t>(5). Chỉ đạo các đơn vị, cá nhân có liên quan kiểm tra, rà soát và làm rõ để xử lý đúng theo quy định của pháp luật đối với các tồn tại được nêu từ điểm 2.4 đến mục 2.7 (Đặc biệt lưu ý toàn bộ nội dung tại điểm 2.4, 2.5, 2.6) tại Mục 2 (Những tồn tại hạn chế) và điểm 3.3 Mục 3 (Những nội dung khác) được nêu tại Báo cáo kiểm toán và chịu trách nhiệm trước pháp luật đối với việc thực hiện của mình.</w:t>
            </w:r>
          </w:p>
          <w:p w14:paraId="4B938496" w14:textId="77777777" w:rsidR="005C188D" w:rsidRPr="007C1EF6" w:rsidRDefault="005C188D" w:rsidP="0042173F">
            <w:pPr>
              <w:jc w:val="both"/>
              <w:rPr>
                <w:sz w:val="23"/>
                <w:szCs w:val="23"/>
              </w:rPr>
            </w:pPr>
            <w:r w:rsidRPr="007C1EF6">
              <w:rPr>
                <w:sz w:val="23"/>
                <w:szCs w:val="23"/>
              </w:rPr>
              <w:t>Quá trình kiểm tra làm rõ nếu phát hiện có sai phạm hoặc nội dung xử lý vượt thẩm quyền xử lý thì báo cáo cấp có thẩm quyền xử lý theo đúng quy định của pháp luật.</w:t>
            </w:r>
          </w:p>
          <w:p w14:paraId="75524974" w14:textId="77777777" w:rsidR="005C188D" w:rsidRPr="007C1EF6" w:rsidRDefault="005C188D" w:rsidP="0042173F">
            <w:pPr>
              <w:jc w:val="both"/>
              <w:rPr>
                <w:sz w:val="23"/>
                <w:szCs w:val="23"/>
              </w:rPr>
            </w:pPr>
            <w:r w:rsidRPr="007C1EF6">
              <w:rPr>
                <w:sz w:val="23"/>
                <w:szCs w:val="23"/>
              </w:rPr>
              <w:t>(6). Chỉ đạo các cơ quan liên quan rà soát, xem xét, quyết định và chịu trách nhiệm trước pháp luật đối với các nội dung:</w:t>
            </w:r>
          </w:p>
          <w:p w14:paraId="70D8D49C" w14:textId="77777777" w:rsidR="005C188D" w:rsidRPr="007C1EF6" w:rsidRDefault="005C188D" w:rsidP="0042173F">
            <w:pPr>
              <w:jc w:val="both"/>
              <w:rPr>
                <w:sz w:val="23"/>
                <w:szCs w:val="23"/>
              </w:rPr>
            </w:pPr>
            <w:r w:rsidRPr="007C1EF6">
              <w:rPr>
                <w:sz w:val="23"/>
                <w:szCs w:val="23"/>
              </w:rPr>
              <w:t xml:space="preserve">(6.1). Việc đền bù nhà G và nhà T (nhà tạm) được xây dựng trên cùng của nhà có kết cấu mái bê tông theo đơn giá nhà 1 tầng hoặc nhà tạm theo Quyết định số 06/2017/QĐ-UBND ngày 03/3/2017 của UBND thành phố Hà Nội. </w:t>
            </w:r>
          </w:p>
          <w:p w14:paraId="49614D0C" w14:textId="77777777" w:rsidR="005C188D" w:rsidRPr="007C1EF6" w:rsidRDefault="005C188D" w:rsidP="0042173F">
            <w:pPr>
              <w:jc w:val="both"/>
              <w:rPr>
                <w:sz w:val="23"/>
                <w:szCs w:val="23"/>
              </w:rPr>
            </w:pPr>
            <w:r w:rsidRPr="007C1EF6">
              <w:rPr>
                <w:sz w:val="23"/>
                <w:szCs w:val="23"/>
              </w:rPr>
              <w:t xml:space="preserve">(6.2). Hỗ trợ khi tự lo tái định cư theo Quyết định số 47/2016/QĐ-UBND ngày 08/11/2016 của UBND thành phố Hà Nội: (i). Điều 1 Quyết định số 47/2016/QĐ-UBND quy định mức hỗ trợ cho các đối tượng tự lo tái định cư bằng tiền đối với các dự án có chính sách bố trí nhà tái định cư trên </w:t>
            </w:r>
            <w:r w:rsidRPr="007C1EF6">
              <w:rPr>
                <w:sz w:val="23"/>
                <w:szCs w:val="23"/>
              </w:rPr>
              <w:lastRenderedPageBreak/>
              <w:t>địa bàn thành phố là 6.800.000 đ/m2 tuy nhiên đơn giá này không quy định áp trên diện tích đất bị thu hồi hay áp trên diện tích căn tái định cư bốc thăm được; (ii) Hiện nay UBND quận Hai Bà Trưng đang áp dụng chính sách hỗ trợ này trên diện tích căn hộ tái định cư bốc thăm được, quá trình thực hiện có sự không bình đẳng tại một số hộ dân (hộ dân có diện tích đất bị thu hồi và số nhân khẩu lớn nhưng lại được hỗ trợ số tiền tự lo tái định cư nhỏ hơn hộ khác có diện tích đất bị thu hồi nhỏ hơn và số nhân khẩu ít hơn; (iii). Khoản 3 Điều 35 Quyết định số 10/2017/QĐ-UBND không quy định cụ thể nội dung của quy chế.</w:t>
            </w:r>
          </w:p>
          <w:p w14:paraId="34D5A040" w14:textId="77777777" w:rsidR="005C188D" w:rsidRPr="007C1EF6" w:rsidRDefault="005C188D" w:rsidP="0042173F">
            <w:pPr>
              <w:jc w:val="both"/>
              <w:rPr>
                <w:sz w:val="23"/>
                <w:szCs w:val="23"/>
              </w:rPr>
            </w:pPr>
            <w:r w:rsidRPr="007C1EF6">
              <w:rPr>
                <w:sz w:val="23"/>
                <w:szCs w:val="23"/>
              </w:rPr>
              <w:t>(8). Chỉ đạo các đơn vị có liên quan rà soát số tiền đã được Nhà đầu tư tạm ứng, nhưng không có nhiệm vụ chi hoặc có nhiệm vụ chi đã được phê duyệt tại các phương án (như chính sách thưởng khi bàn giao mặt bằng đúng quy định…), nhưng không đáp ứng điều kiện chi để hoàn trả Nhà đầu tư, sau này làm căn cứ quyết toán hợp đồng BT.</w:t>
            </w:r>
          </w:p>
          <w:p w14:paraId="02717765" w14:textId="77777777" w:rsidR="005C188D" w:rsidRPr="007C1EF6" w:rsidRDefault="005C188D" w:rsidP="0042173F">
            <w:pPr>
              <w:jc w:val="both"/>
              <w:rPr>
                <w:sz w:val="23"/>
                <w:szCs w:val="23"/>
              </w:rPr>
            </w:pPr>
            <w:r w:rsidRPr="007C1EF6">
              <w:rPr>
                <w:sz w:val="23"/>
                <w:szCs w:val="23"/>
              </w:rPr>
              <w:t>(9). Căn cứ vào kết quả kiểm toán được chỉ ra tại Báo cáo kiểm toán này, Đề nghị UBND thành phố Hà Nội chỉ đạo các đơn vị có liên quan rà soát lại các phương án bồi thường, hỗ trợ và tái định cư chưa được kiểm toán nếu phát hiện ra các sai sót tương tự thì xử lý theo đúng quy định pháp luật.</w:t>
            </w:r>
          </w:p>
          <w:p w14:paraId="55FDFD63" w14:textId="77777777" w:rsidR="005C188D" w:rsidRPr="007C1EF6" w:rsidRDefault="005C188D" w:rsidP="0042173F">
            <w:pPr>
              <w:jc w:val="both"/>
              <w:rPr>
                <w:sz w:val="23"/>
                <w:szCs w:val="23"/>
              </w:rPr>
            </w:pPr>
            <w:r w:rsidRPr="007C1EF6">
              <w:rPr>
                <w:sz w:val="23"/>
                <w:szCs w:val="23"/>
              </w:rPr>
              <w:t>(11). Chỉ đạo cơ quan có chuyên môn kiểm tra rà soát việc thực hiện chính sách hỗ trợ đền bù khi nhà nước thu hồi đất đối với các trường hợp cụ thể dưới đây, quá trình kiểm tra rà soát nếu phát hiện có sai phạm thì xác định trách nhiệm tập thể, cá nhân và xử lý theo quy định pháp luật việc:</w:t>
            </w:r>
          </w:p>
          <w:p w14:paraId="0BEE9271" w14:textId="77777777" w:rsidR="005C188D" w:rsidRPr="007C1EF6" w:rsidRDefault="005C188D" w:rsidP="0042173F">
            <w:pPr>
              <w:jc w:val="both"/>
              <w:rPr>
                <w:sz w:val="23"/>
                <w:szCs w:val="23"/>
              </w:rPr>
            </w:pPr>
            <w:r w:rsidRPr="007C1EF6">
              <w:rPr>
                <w:sz w:val="23"/>
                <w:szCs w:val="23"/>
              </w:rPr>
              <w:t>(11.1). Bồi thường đất sân vườn liền kề, đất sân vườn liền kề làm lối đi chung theo đơn giá đất ở (trong phương án đền bù có xác định khoản tiền nghĩa vụ tài chính đất đai phải nộp): Hộ ông Tạ Đình Hạnh và bà Nguyễn Thị Thanh Hường (phường Vĩnh Tuy); Hộ bà Nguyễn Thị Ánh Tuyết và Hộ Lương Trung Hoan (phường Vĩnh Tuy); Hộ ông Nguyễn Trí Phương và vợ bà Nguyễn Thị Xuân (phường Vĩnh Tuy).</w:t>
            </w:r>
          </w:p>
          <w:p w14:paraId="5A74AA81" w14:textId="77777777" w:rsidR="005C188D" w:rsidRPr="007C1EF6" w:rsidRDefault="005C188D" w:rsidP="0042173F">
            <w:pPr>
              <w:jc w:val="both"/>
              <w:rPr>
                <w:sz w:val="23"/>
                <w:szCs w:val="23"/>
              </w:rPr>
            </w:pPr>
            <w:r w:rsidRPr="007C1EF6">
              <w:rPr>
                <w:sz w:val="23"/>
                <w:szCs w:val="23"/>
              </w:rPr>
              <w:lastRenderedPageBreak/>
              <w:t>(11.2). Hộ bà Trần Thị Mậu (phường Minh Khai) được đền bù 287.806.630 đồng cho 3.13m2 là diện tích gia đình cơi nới sử dụng phần đất liền kề nằm trong khuôn viên đất tập thể làm đất ở trước 15/10/1993.</w:t>
            </w:r>
          </w:p>
          <w:p w14:paraId="48BDEC35" w14:textId="77777777" w:rsidR="005C188D" w:rsidRPr="007C1EF6" w:rsidRDefault="005C188D" w:rsidP="0042173F">
            <w:pPr>
              <w:jc w:val="both"/>
              <w:rPr>
                <w:sz w:val="23"/>
                <w:szCs w:val="23"/>
              </w:rPr>
            </w:pPr>
            <w:r w:rsidRPr="007C1EF6">
              <w:rPr>
                <w:sz w:val="23"/>
                <w:szCs w:val="23"/>
              </w:rPr>
              <w:t>(11.3). Bồi thường về đất cho hộ bà Mạc Ngàn Dính và ông Nguyễn Văn Đức (phường Minh Khai): Hồ sơ do đơn vị cung cấp không có giấy tờ pháp lý chứng minh thửa số 110 diện tích 113,3m2 địa chỉ số 187 ngõ 179 phố Minh Khai đã được hợp thửa với thửa số 124 diện tích 27,1m2 ở địa chỉ số 187 Minh Khai thành 01 thửa có diện tích 140,40m2 địa chỉ 187D Minh Khai làm căn cứ bồi thường như phương án được phê duyệt tại thời điểm thu hồi đất.</w:t>
            </w:r>
          </w:p>
          <w:p w14:paraId="1773573A" w14:textId="391B82D3" w:rsidR="005C188D" w:rsidRPr="007C1EF6" w:rsidRDefault="005C188D" w:rsidP="0042173F">
            <w:pPr>
              <w:tabs>
                <w:tab w:val="left" w:leader="dot" w:pos="8900"/>
              </w:tabs>
              <w:ind w:right="66"/>
              <w:jc w:val="both"/>
              <w:rPr>
                <w:sz w:val="23"/>
                <w:szCs w:val="23"/>
              </w:rPr>
            </w:pPr>
            <w:r w:rsidRPr="007C1EF6">
              <w:rPr>
                <w:sz w:val="23"/>
                <w:szCs w:val="23"/>
              </w:rPr>
              <w:t>(12). Chỉ đạo các đơn vị, cá nhân có liên quan chấn chỉnh rút kinh nghiệm khi để xảy ra các tồn tại được nêu tại Báo cáo kiểm toán.</w:t>
            </w:r>
          </w:p>
        </w:tc>
      </w:tr>
      <w:tr w:rsidR="005C188D" w:rsidRPr="007C1EF6" w14:paraId="2D10CD66" w14:textId="62853A82" w:rsidTr="005C188D">
        <w:trPr>
          <w:trHeight w:val="170"/>
          <w:jc w:val="center"/>
        </w:trPr>
        <w:tc>
          <w:tcPr>
            <w:tcW w:w="199" w:type="pct"/>
          </w:tcPr>
          <w:p w14:paraId="612C4DBA" w14:textId="0A3FC9DA" w:rsidR="005C188D" w:rsidRPr="007C1EF6" w:rsidRDefault="005C188D" w:rsidP="0042173F">
            <w:pPr>
              <w:pStyle w:val="ListParagraph"/>
              <w:widowControl w:val="0"/>
              <w:numPr>
                <w:ilvl w:val="0"/>
                <w:numId w:val="13"/>
              </w:numPr>
              <w:spacing w:after="0" w:line="240" w:lineRule="auto"/>
              <w:ind w:left="0" w:firstLine="170"/>
              <w:jc w:val="center"/>
              <w:rPr>
                <w:rFonts w:ascii="Times New Roman" w:hAnsi="Times New Roman"/>
                <w:sz w:val="23"/>
                <w:szCs w:val="23"/>
              </w:rPr>
            </w:pPr>
          </w:p>
        </w:tc>
        <w:tc>
          <w:tcPr>
            <w:tcW w:w="1221" w:type="pct"/>
          </w:tcPr>
          <w:p w14:paraId="7BAEC118" w14:textId="3468C2F3" w:rsidR="005C188D" w:rsidRPr="007C1EF6" w:rsidRDefault="005C188D" w:rsidP="0042173F">
            <w:pPr>
              <w:ind w:right="238"/>
              <w:jc w:val="both"/>
              <w:rPr>
                <w:sz w:val="23"/>
                <w:szCs w:val="23"/>
              </w:rPr>
            </w:pPr>
            <w:r w:rsidRPr="007C1EF6">
              <w:rPr>
                <w:sz w:val="23"/>
                <w:szCs w:val="23"/>
              </w:rPr>
              <w:t>Bộ Xây dựng</w:t>
            </w:r>
          </w:p>
        </w:tc>
        <w:tc>
          <w:tcPr>
            <w:tcW w:w="1601" w:type="pct"/>
          </w:tcPr>
          <w:p w14:paraId="7A329E77" w14:textId="7A61DC17" w:rsidR="005C188D" w:rsidRPr="007C1EF6" w:rsidRDefault="005C188D" w:rsidP="0042173F">
            <w:pPr>
              <w:ind w:right="31"/>
              <w:jc w:val="both"/>
              <w:rPr>
                <w:rFonts w:eastAsia="MS Mincho"/>
                <w:bCs/>
                <w:sz w:val="23"/>
                <w:szCs w:val="23"/>
                <w:lang w:val="it-IT"/>
              </w:rPr>
            </w:pPr>
            <w:r w:rsidRPr="007C1EF6">
              <w:rPr>
                <w:rFonts w:eastAsia="MS Mincho"/>
                <w:bCs/>
                <w:sz w:val="23"/>
                <w:szCs w:val="23"/>
                <w:lang w:val="it-IT"/>
              </w:rPr>
              <w:t>Hoạt động xây dựng và việc quản lý, sử dụng vốn đầu tư Dự án đầu tư xây dựng các bến container số 3 và số 4 thuộc Cảng cửa ngõ quốc tế Hải Phòng (tại Khu bến cảng Lạch Huyện), thành phố Hải Phòng</w:t>
            </w:r>
          </w:p>
        </w:tc>
        <w:tc>
          <w:tcPr>
            <w:tcW w:w="1980" w:type="pct"/>
          </w:tcPr>
          <w:p w14:paraId="08584D43" w14:textId="77777777" w:rsidR="005C188D" w:rsidRPr="007C1EF6" w:rsidRDefault="005C188D" w:rsidP="0042173F">
            <w:pPr>
              <w:jc w:val="both"/>
              <w:rPr>
                <w:sz w:val="23"/>
                <w:szCs w:val="23"/>
              </w:rPr>
            </w:pPr>
            <w:r w:rsidRPr="007C1EF6">
              <w:rPr>
                <w:sz w:val="23"/>
                <w:szCs w:val="23"/>
              </w:rPr>
              <w:t>Đề nghị Bộ Xây dựng chỉ đạo:</w:t>
            </w:r>
          </w:p>
          <w:p w14:paraId="3E98C08F" w14:textId="77777777" w:rsidR="005C188D" w:rsidRPr="007C1EF6" w:rsidRDefault="005C188D" w:rsidP="0042173F">
            <w:pPr>
              <w:jc w:val="both"/>
              <w:rPr>
                <w:sz w:val="23"/>
                <w:szCs w:val="23"/>
              </w:rPr>
            </w:pPr>
            <w:r w:rsidRPr="007C1EF6">
              <w:rPr>
                <w:sz w:val="23"/>
                <w:szCs w:val="23"/>
              </w:rPr>
              <w:t>- Cục Quản lý xây dựng và Chất lượng công trình giao thông (nay là Cục Kinh tế - Quản lý đầu tư xây dựng) chấn chỉnh, rút kinh nghiệm trong việc thẩm định Dự án khi Dự án chưa có đầy đủ thỏa thuận kết nối hạ tầng kỹ thuật; phát hành báo cáo thẩm định Dự án khi Dự án chưa được thẩm duyệt thiết kế PCCC, chưa được phê duyệt báo cáo đánh giá tác động môi trường theo quy định.</w:t>
            </w:r>
          </w:p>
          <w:p w14:paraId="02F6390A" w14:textId="051FF0CA" w:rsidR="005C188D" w:rsidRPr="007C1EF6" w:rsidRDefault="005C188D" w:rsidP="0042173F">
            <w:pPr>
              <w:tabs>
                <w:tab w:val="left" w:leader="dot" w:pos="8900"/>
              </w:tabs>
              <w:ind w:right="66"/>
              <w:jc w:val="both"/>
              <w:rPr>
                <w:sz w:val="23"/>
                <w:szCs w:val="23"/>
              </w:rPr>
            </w:pPr>
            <w:r w:rsidRPr="007C1EF6">
              <w:rPr>
                <w:sz w:val="23"/>
                <w:szCs w:val="23"/>
              </w:rPr>
              <w:t>- Cục Giám định nhà nước về chất lượng công trình xây dựng (cơ quan thường trực Hội đồng kiểm tra Nhà nước về công tác nghiệm thu) phối hợp CHP kiểm tra, rà soát việc tổ chức thực hiện công tác kiểm tra nghiệm thu của Dự án và lập dự toán, thanh, quyết toán chi phí cho công tác kiểm tra, nghiệm thu Dự án theo đúng quy định.</w:t>
            </w:r>
          </w:p>
        </w:tc>
      </w:tr>
      <w:tr w:rsidR="005C188D" w:rsidRPr="007C1EF6" w14:paraId="3D044D1B" w14:textId="3ED5E8FA" w:rsidTr="005C188D">
        <w:trPr>
          <w:trHeight w:val="170"/>
          <w:jc w:val="center"/>
        </w:trPr>
        <w:tc>
          <w:tcPr>
            <w:tcW w:w="199" w:type="pct"/>
          </w:tcPr>
          <w:p w14:paraId="78A4972C" w14:textId="3C7D4852" w:rsidR="005C188D" w:rsidRPr="007C1EF6" w:rsidRDefault="005C188D" w:rsidP="0042173F">
            <w:pPr>
              <w:pStyle w:val="ListParagraph"/>
              <w:widowControl w:val="0"/>
              <w:numPr>
                <w:ilvl w:val="0"/>
                <w:numId w:val="13"/>
              </w:numPr>
              <w:spacing w:after="0" w:line="240" w:lineRule="auto"/>
              <w:ind w:left="0" w:firstLine="82"/>
              <w:jc w:val="center"/>
              <w:rPr>
                <w:rFonts w:ascii="Times New Roman" w:hAnsi="Times New Roman"/>
                <w:sz w:val="23"/>
                <w:szCs w:val="23"/>
              </w:rPr>
            </w:pPr>
          </w:p>
        </w:tc>
        <w:tc>
          <w:tcPr>
            <w:tcW w:w="1221" w:type="pct"/>
          </w:tcPr>
          <w:p w14:paraId="5D485A02" w14:textId="04FFD00C" w:rsidR="005C188D" w:rsidRPr="007C1EF6" w:rsidRDefault="005C188D" w:rsidP="0042173F">
            <w:pPr>
              <w:ind w:right="238"/>
              <w:jc w:val="both"/>
              <w:rPr>
                <w:sz w:val="23"/>
                <w:szCs w:val="23"/>
              </w:rPr>
            </w:pPr>
            <w:r w:rsidRPr="007C1EF6">
              <w:rPr>
                <w:sz w:val="23"/>
                <w:szCs w:val="23"/>
              </w:rPr>
              <w:t>UBND tỉnh Vĩnh Long</w:t>
            </w:r>
          </w:p>
        </w:tc>
        <w:tc>
          <w:tcPr>
            <w:tcW w:w="1601" w:type="pct"/>
          </w:tcPr>
          <w:p w14:paraId="3BB1F5A3" w14:textId="589A6487" w:rsidR="005C188D" w:rsidRPr="007C1EF6" w:rsidRDefault="005C188D" w:rsidP="0042173F">
            <w:pPr>
              <w:ind w:right="31"/>
              <w:jc w:val="both"/>
              <w:rPr>
                <w:rFonts w:eastAsia="MS Mincho"/>
                <w:bCs/>
                <w:sz w:val="23"/>
                <w:szCs w:val="23"/>
              </w:rPr>
            </w:pPr>
            <w:r w:rsidRPr="007C1EF6">
              <w:rPr>
                <w:rFonts w:eastAsia="MS Mincho"/>
                <w:bCs/>
                <w:sz w:val="23"/>
                <w:szCs w:val="23"/>
                <w:lang w:val="it-IT"/>
              </w:rPr>
              <w:t>Hoạt động xây dựng và việc quản lý, sử dụng vốn đầu tư Dự án đầu tư xây dựng cơ sở hạ tầng khu công nghiệp Phú Thuận, huyện Bình Đại, tỉnh Bến Tre</w:t>
            </w:r>
          </w:p>
        </w:tc>
        <w:tc>
          <w:tcPr>
            <w:tcW w:w="1980" w:type="pct"/>
          </w:tcPr>
          <w:p w14:paraId="0DFAAA55" w14:textId="77777777" w:rsidR="005C188D" w:rsidRPr="007C1EF6" w:rsidRDefault="005C188D" w:rsidP="0042173F">
            <w:pPr>
              <w:jc w:val="both"/>
              <w:rPr>
                <w:sz w:val="23"/>
                <w:szCs w:val="23"/>
                <w:lang w:val="pt-BR"/>
              </w:rPr>
            </w:pPr>
            <w:r w:rsidRPr="007C1EF6">
              <w:rPr>
                <w:sz w:val="23"/>
                <w:szCs w:val="23"/>
                <w:lang w:val="pt-BR"/>
              </w:rPr>
              <w:t>(1) Ủy ban nhân dân tỉnh Vĩnh Long chỉ đạo các đơn vị liên quan phối hợp rà soát, tham mưu thủ tục trình Ủy ban nhân dân tỉnh phê duyệt điều chỉnh quy hoạch Khu công nghiệp Phú Thuận, huyện Bình Đại, tỉnh Bến Tre, đồng thời điều chỉnh chủ trương đầu tư theo quy định.</w:t>
            </w:r>
          </w:p>
          <w:p w14:paraId="646546BC" w14:textId="6E8D422A" w:rsidR="005C188D" w:rsidRPr="007C1EF6" w:rsidRDefault="005C188D" w:rsidP="0042173F">
            <w:pPr>
              <w:jc w:val="both"/>
              <w:rPr>
                <w:sz w:val="23"/>
                <w:szCs w:val="23"/>
                <w:lang w:val="pt-BR"/>
              </w:rPr>
            </w:pPr>
            <w:r w:rsidRPr="007C1EF6">
              <w:rPr>
                <w:sz w:val="23"/>
                <w:szCs w:val="23"/>
                <w:lang w:val="pt-BR"/>
              </w:rPr>
              <w:t>(2) Chỉ đạo các cơ quan chức năng tổ chức kiểm tra, rà soát khắc phục tất cả các tồn tại sai sót  đã nêu</w:t>
            </w:r>
            <w:r>
              <w:rPr>
                <w:sz w:val="23"/>
                <w:szCs w:val="23"/>
                <w:lang w:val="pt-BR"/>
              </w:rPr>
              <w:t xml:space="preserve"> </w:t>
            </w:r>
            <w:r w:rsidRPr="007C1EF6">
              <w:rPr>
                <w:sz w:val="23"/>
                <w:szCs w:val="23"/>
                <w:lang w:val="pt-BR"/>
              </w:rPr>
              <w:t xml:space="preserve">trong ban hành hệ </w:t>
            </w:r>
            <w:r w:rsidRPr="007C1EF6">
              <w:rPr>
                <w:sz w:val="23"/>
                <w:szCs w:val="23"/>
                <w:lang w:val="pt-BR"/>
              </w:rPr>
              <w:lastRenderedPageBreak/>
              <w:t>số điều chỉnh giá đất để tính tiền bồi thường mà KTNN đã nêu tại phần kết quả kiểm toán, trong trường hợp nếu có phát hiện có chênh lệch về giá trị, đề nghị phê duyệt lại, đồng thời xác định rõ trách nhiệm của các tập thể, cá nhân có liên quan để xử lý theo đúng quy định của pháp luật.</w:t>
            </w:r>
          </w:p>
          <w:p w14:paraId="1C577B8E" w14:textId="77777777" w:rsidR="005C188D" w:rsidRPr="007C1EF6" w:rsidRDefault="005C188D" w:rsidP="0042173F">
            <w:pPr>
              <w:jc w:val="both"/>
              <w:rPr>
                <w:sz w:val="23"/>
                <w:szCs w:val="23"/>
                <w:lang w:val="pt-BR"/>
              </w:rPr>
            </w:pPr>
            <w:r w:rsidRPr="007C1EF6">
              <w:rPr>
                <w:sz w:val="23"/>
                <w:szCs w:val="23"/>
                <w:lang w:val="pt-BR"/>
              </w:rPr>
              <w:t xml:space="preserve">(3) Chấn chỉnh rút kinh nghiệm trong việc: (i) Phê duyệt dự án Đường từ cảng Giao Long đến khu công nghiệp Phú Thuận (ĐT.DK07), liên huyện Châu Thành – Bình Đại, Bến Tre để kết nối với khu công nghiệp Phú Thuận, nhưng lệch với đường N4 của khu công nghiệp Phú Thuận (khoảng 100m); (ii) Quyết định phê duyệt kế hoạch lựa chọn nhà thầu không nêu thời gian cấp vốn để thanh toán cho nhà thầu theo quy định tại khoản 3 Điều 5 Thông tư số 10/2015/TT-BKHĐT ngày 18/3/2015 của Bộ Kế hoạch và Đầu tư về kế hoạch lựa chọn nhà thầu; (iii) Ban hành các Quyết định số 28/2019/QĐ-UBND ngày 05/8/201, Quyết định số 29/2019/QĐ-UBND ngày 14/8/2019, Quyết định số 02/2022/QĐ-UBND ngày 10/01/2022 chưa phù hợp quy định pháp luật. </w:t>
            </w:r>
          </w:p>
          <w:p w14:paraId="3529522C" w14:textId="632BC795" w:rsidR="005C188D" w:rsidRPr="007C1EF6" w:rsidRDefault="005C188D" w:rsidP="0042173F">
            <w:pPr>
              <w:tabs>
                <w:tab w:val="left" w:leader="dot" w:pos="8900"/>
              </w:tabs>
              <w:ind w:right="66"/>
              <w:jc w:val="both"/>
              <w:rPr>
                <w:sz w:val="23"/>
                <w:szCs w:val="23"/>
              </w:rPr>
            </w:pPr>
            <w:r w:rsidRPr="007C1EF6">
              <w:rPr>
                <w:sz w:val="23"/>
                <w:szCs w:val="23"/>
                <w:lang w:val="pt-BR"/>
              </w:rPr>
              <w:t>(4) Chỉ đạo cơ quan chức năng chấn chỉnh rút kinh nghiệm: (i) Việc tham mưu UBND tỉnh ban hành Quyết định số 29/2019/QĐ-UBND ngày 14/8/2019, Quyết định số 02/2022/QĐ-UBND ngày 10/01/2022 chưa phù hợp quy định pháp luật; (ii) Việc chậm tham mưu UBND tỉnh Bến Tre ban hành văn bản sửa đổi, bổ sung đối với Quyết định số 28/2019/QĐ-UBND ngày 05/8/2019 của UBND tỉnh Bến Tre theo điểm a khoản 1 Điều 5 Thông tư số 14/2019/TT-BXD ngày 26/12/2019 của Bộ Xây dựng.</w:t>
            </w:r>
          </w:p>
        </w:tc>
      </w:tr>
      <w:tr w:rsidR="005C188D" w:rsidRPr="007C1EF6" w14:paraId="37EE7DD4" w14:textId="4F1536BB" w:rsidTr="005C188D">
        <w:trPr>
          <w:trHeight w:val="170"/>
          <w:jc w:val="center"/>
        </w:trPr>
        <w:tc>
          <w:tcPr>
            <w:tcW w:w="199" w:type="pct"/>
          </w:tcPr>
          <w:p w14:paraId="690EDF3F" w14:textId="398B3E85" w:rsidR="005C188D" w:rsidRPr="007C1EF6" w:rsidRDefault="005C188D" w:rsidP="0042173F">
            <w:pPr>
              <w:pStyle w:val="ListParagraph"/>
              <w:widowControl w:val="0"/>
              <w:numPr>
                <w:ilvl w:val="0"/>
                <w:numId w:val="13"/>
              </w:numPr>
              <w:spacing w:after="0" w:line="240" w:lineRule="auto"/>
              <w:ind w:left="0" w:firstLine="82"/>
              <w:jc w:val="center"/>
              <w:rPr>
                <w:rFonts w:ascii="Times New Roman" w:hAnsi="Times New Roman"/>
                <w:sz w:val="23"/>
                <w:szCs w:val="23"/>
              </w:rPr>
            </w:pPr>
          </w:p>
        </w:tc>
        <w:tc>
          <w:tcPr>
            <w:tcW w:w="1221" w:type="pct"/>
          </w:tcPr>
          <w:p w14:paraId="7A9756F0" w14:textId="59F9DC5B" w:rsidR="005C188D" w:rsidRPr="007C1EF6" w:rsidRDefault="005C188D" w:rsidP="0042173F">
            <w:pPr>
              <w:ind w:right="238"/>
              <w:jc w:val="both"/>
              <w:rPr>
                <w:sz w:val="23"/>
                <w:szCs w:val="23"/>
              </w:rPr>
            </w:pPr>
            <w:r w:rsidRPr="007C1EF6">
              <w:rPr>
                <w:sz w:val="23"/>
                <w:szCs w:val="23"/>
              </w:rPr>
              <w:t>Bộ Công Thương</w:t>
            </w:r>
          </w:p>
        </w:tc>
        <w:tc>
          <w:tcPr>
            <w:tcW w:w="1601" w:type="pct"/>
          </w:tcPr>
          <w:p w14:paraId="1AEF3A56" w14:textId="0C05EBEF" w:rsidR="005C188D" w:rsidRPr="007C1EF6" w:rsidRDefault="005C188D" w:rsidP="0042173F">
            <w:pPr>
              <w:ind w:right="31"/>
              <w:jc w:val="both"/>
              <w:rPr>
                <w:rFonts w:eastAsia="MS Mincho"/>
                <w:bCs/>
                <w:sz w:val="23"/>
                <w:szCs w:val="23"/>
                <w:lang w:val="it-IT"/>
              </w:rPr>
            </w:pPr>
            <w:r w:rsidRPr="007C1EF6">
              <w:rPr>
                <w:rFonts w:eastAsia="Calibri"/>
                <w:sz w:val="23"/>
                <w:szCs w:val="23"/>
                <w:lang w:val="de-DE"/>
              </w:rPr>
              <w:t>Hoạt động xây dựng và việc quản lý, sử dụng vốn đầu tư Dự án đầu tư Nâng công suất phân xưởng NH3 của Nhà máy Đạm Phú Mỹ và Xây dựng Nhà máy sản xuất phân NPK công nghệ hóa học</w:t>
            </w:r>
          </w:p>
        </w:tc>
        <w:tc>
          <w:tcPr>
            <w:tcW w:w="1980" w:type="pct"/>
          </w:tcPr>
          <w:p w14:paraId="25F20D26" w14:textId="77777777" w:rsidR="005C188D" w:rsidRPr="007C1EF6" w:rsidRDefault="005C188D" w:rsidP="0042173F">
            <w:pPr>
              <w:tabs>
                <w:tab w:val="left" w:leader="dot" w:pos="8900"/>
              </w:tabs>
              <w:ind w:right="66"/>
              <w:jc w:val="both"/>
              <w:rPr>
                <w:sz w:val="23"/>
                <w:szCs w:val="23"/>
              </w:rPr>
            </w:pPr>
            <w:r w:rsidRPr="007C1EF6">
              <w:rPr>
                <w:sz w:val="23"/>
                <w:szCs w:val="23"/>
              </w:rPr>
              <w:t>3.1. Tổ chức kiểm tra, rà soát và chịu trách nhiệm về sự phù hợp giữa Quy hoạch được duyệt và dự án đầu tư. Trường hợp có sai khác báo cáo với Thủ tướng Chính phủ xử lý theo quy định.</w:t>
            </w:r>
          </w:p>
          <w:p w14:paraId="669DC68A" w14:textId="51EF1EF4" w:rsidR="005C188D" w:rsidRPr="007C1EF6" w:rsidRDefault="005C188D" w:rsidP="0042173F">
            <w:pPr>
              <w:tabs>
                <w:tab w:val="left" w:leader="dot" w:pos="8900"/>
              </w:tabs>
              <w:ind w:right="66"/>
              <w:jc w:val="both"/>
              <w:rPr>
                <w:sz w:val="23"/>
                <w:szCs w:val="23"/>
              </w:rPr>
            </w:pPr>
            <w:r w:rsidRPr="007C1EF6">
              <w:rPr>
                <w:sz w:val="23"/>
                <w:szCs w:val="23"/>
              </w:rPr>
              <w:t>3.2. Chỉ đạo Cục Hóa chất (Bộ Công Thương) tổ chức chấn chỉnh, rút kinh nghiệm trong việc thẩm định TKKT Gói thầu EPC-NPK (phần Xây dựng) chậm so với quy định.</w:t>
            </w:r>
          </w:p>
        </w:tc>
      </w:tr>
      <w:tr w:rsidR="005C188D" w:rsidRPr="007C1EF6" w14:paraId="76C8C60C" w14:textId="130D98D7" w:rsidTr="005C188D">
        <w:trPr>
          <w:trHeight w:val="170"/>
          <w:jc w:val="center"/>
        </w:trPr>
        <w:tc>
          <w:tcPr>
            <w:tcW w:w="199" w:type="pct"/>
          </w:tcPr>
          <w:p w14:paraId="673E909C" w14:textId="77777777" w:rsidR="005C188D" w:rsidRPr="007C1EF6" w:rsidRDefault="005C188D" w:rsidP="0042173F">
            <w:pPr>
              <w:pStyle w:val="ListParagraph"/>
              <w:widowControl w:val="0"/>
              <w:numPr>
                <w:ilvl w:val="0"/>
                <w:numId w:val="13"/>
              </w:numPr>
              <w:spacing w:after="0" w:line="240" w:lineRule="auto"/>
              <w:ind w:left="0" w:firstLine="82"/>
              <w:jc w:val="center"/>
              <w:rPr>
                <w:rFonts w:ascii="Times New Roman" w:hAnsi="Times New Roman"/>
                <w:sz w:val="23"/>
                <w:szCs w:val="23"/>
              </w:rPr>
            </w:pPr>
          </w:p>
        </w:tc>
        <w:tc>
          <w:tcPr>
            <w:tcW w:w="1221" w:type="pct"/>
          </w:tcPr>
          <w:p w14:paraId="663EAABA" w14:textId="1420346D" w:rsidR="005C188D" w:rsidRPr="007C1EF6" w:rsidRDefault="005C188D" w:rsidP="0042173F">
            <w:pPr>
              <w:ind w:right="238"/>
              <w:jc w:val="both"/>
              <w:rPr>
                <w:sz w:val="23"/>
                <w:szCs w:val="23"/>
              </w:rPr>
            </w:pPr>
            <w:r w:rsidRPr="007C1EF6">
              <w:rPr>
                <w:sz w:val="23"/>
                <w:szCs w:val="23"/>
              </w:rPr>
              <w:t>UBND Thành phố Hồ Chí Minh</w:t>
            </w:r>
          </w:p>
        </w:tc>
        <w:tc>
          <w:tcPr>
            <w:tcW w:w="1601" w:type="pct"/>
          </w:tcPr>
          <w:p w14:paraId="0D289DA8" w14:textId="56BF0CC0" w:rsidR="005C188D" w:rsidRPr="007C1EF6" w:rsidRDefault="005C188D" w:rsidP="0042173F">
            <w:pPr>
              <w:ind w:right="31"/>
              <w:jc w:val="both"/>
              <w:rPr>
                <w:rFonts w:eastAsia="MS Mincho"/>
                <w:bCs/>
                <w:sz w:val="23"/>
                <w:szCs w:val="23"/>
                <w:lang w:val="pt-BR"/>
              </w:rPr>
            </w:pPr>
            <w:r w:rsidRPr="007C1EF6">
              <w:rPr>
                <w:rFonts w:eastAsia="Calibri"/>
                <w:sz w:val="23"/>
                <w:szCs w:val="23"/>
              </w:rPr>
              <w:t>Hoạt động xây dựng và việc quản lý, sử dụng vốn đầu tư dự án Vệ sinh môi trường Thành phố Hồ Chí Minh - Giai đoạn 2</w:t>
            </w:r>
          </w:p>
        </w:tc>
        <w:tc>
          <w:tcPr>
            <w:tcW w:w="1980" w:type="pct"/>
          </w:tcPr>
          <w:p w14:paraId="226291CD" w14:textId="77777777" w:rsidR="005C188D" w:rsidRPr="007C1EF6" w:rsidRDefault="005C188D" w:rsidP="0042173F">
            <w:pPr>
              <w:tabs>
                <w:tab w:val="left" w:leader="dot" w:pos="8900"/>
              </w:tabs>
              <w:ind w:right="66"/>
              <w:jc w:val="both"/>
              <w:rPr>
                <w:sz w:val="23"/>
                <w:szCs w:val="23"/>
              </w:rPr>
            </w:pPr>
            <w:r w:rsidRPr="007C1EF6">
              <w:rPr>
                <w:sz w:val="23"/>
                <w:szCs w:val="23"/>
              </w:rPr>
              <w:t xml:space="preserve">(1) Phối hợp chặt chẽ với Bộ Xây dựng để thực hiện nhiệm vụ báo cáo Quốc hội tại kỳ họp cuối năm về tình hình triển khai thực hiện Dự án, trong đó có vấn đề phát sinh tiêu chí thuộc dự án quan trọng quốc gia theo quy định theo quy định tại điểm c khoản 3 Điều 104 Nghị định số 29/2021/NĐ-CP ngày 26/3/2021 của Chính phủ theo đúng chỉ đạo của Thủ tướng Chính phủ tại Điều 4 Quyết định số 703/QĐ-TTg ngày 22/7/2024. </w:t>
            </w:r>
          </w:p>
          <w:p w14:paraId="3A8037D2" w14:textId="77777777" w:rsidR="005C188D" w:rsidRPr="007C1EF6" w:rsidRDefault="005C188D" w:rsidP="0042173F">
            <w:pPr>
              <w:tabs>
                <w:tab w:val="left" w:leader="dot" w:pos="8900"/>
              </w:tabs>
              <w:ind w:right="66"/>
              <w:jc w:val="both"/>
              <w:rPr>
                <w:sz w:val="23"/>
                <w:szCs w:val="23"/>
              </w:rPr>
            </w:pPr>
            <w:r w:rsidRPr="007C1EF6">
              <w:rPr>
                <w:sz w:val="23"/>
                <w:szCs w:val="23"/>
              </w:rPr>
              <w:t xml:space="preserve">(2) Chỉ đạo Ban Quản lý dự án đầu tư xây dựng hạ tầng đô thị thành phố Hồ Chí Minh và các Sở, ngành liên quan xác định chỉ số giá cát san lấp ngày cơ sở và năm gốc, để làm căn cứ cho việc xác định bù giá cát gói thầu XL-02 của dự án và cơ sở cho việc thanh, quyết toán gói thầu, dự án (đã được KTNN kiến nghị tại Báo cáo kiểm toán năm 2024). </w:t>
            </w:r>
          </w:p>
          <w:p w14:paraId="63EA3EAA" w14:textId="77777777" w:rsidR="005C188D" w:rsidRPr="007C1EF6" w:rsidRDefault="005C188D" w:rsidP="0042173F">
            <w:pPr>
              <w:tabs>
                <w:tab w:val="left" w:leader="dot" w:pos="8900"/>
              </w:tabs>
              <w:ind w:right="66"/>
              <w:jc w:val="both"/>
              <w:rPr>
                <w:sz w:val="23"/>
                <w:szCs w:val="23"/>
              </w:rPr>
            </w:pPr>
            <w:r w:rsidRPr="007C1EF6">
              <w:rPr>
                <w:sz w:val="23"/>
                <w:szCs w:val="23"/>
              </w:rPr>
              <w:t xml:space="preserve">(3) Rút kinh nghiệm và xem xét điều chỉnh Quyết định số 2977/QĐ-UBND ngày 31/7/2024 của UBND Thành phố trong việc: điều chỉnh giảm tổng mức đầu tư tại mục 1 Điều 1 nhưng không xác định rõ điều chỉnh khoản mục chi phí cụ thể; nội dung tổ chức thực hiện quy định tại mục 2 Điều 2 của Quyết định số 2977/QĐ-UBND để khắc phục các tồn tại đã được nêu trong BCKT. </w:t>
            </w:r>
          </w:p>
          <w:p w14:paraId="2C72F59F" w14:textId="77777777" w:rsidR="005C188D" w:rsidRPr="007C1EF6" w:rsidRDefault="005C188D" w:rsidP="0042173F">
            <w:pPr>
              <w:tabs>
                <w:tab w:val="left" w:leader="dot" w:pos="8900"/>
              </w:tabs>
              <w:ind w:right="66"/>
              <w:jc w:val="both"/>
              <w:rPr>
                <w:sz w:val="23"/>
                <w:szCs w:val="23"/>
              </w:rPr>
            </w:pPr>
            <w:r w:rsidRPr="007C1EF6">
              <w:rPr>
                <w:sz w:val="23"/>
                <w:szCs w:val="23"/>
              </w:rPr>
              <w:t xml:space="preserve">(4) Rà soát, làm rõ nguyên nhân, trách nhiệm của tập thể, cá nhân có liên quan đến việc chấp thuận cho tạm ứng 300 tỷ đồng từ ngân sách thành phố để thanh toán cho nhà thầu dẫn đến ngân sách thành phố phải chi trả bù số chênh lệch tỷ giá 16.858 triệu đồng vốn đầu tư và xử lý theo quy định. </w:t>
            </w:r>
          </w:p>
          <w:p w14:paraId="5145A3E3" w14:textId="77777777" w:rsidR="005C188D" w:rsidRPr="007C1EF6" w:rsidRDefault="005C188D" w:rsidP="0042173F">
            <w:pPr>
              <w:tabs>
                <w:tab w:val="left" w:leader="dot" w:pos="8900"/>
              </w:tabs>
              <w:ind w:right="66"/>
              <w:jc w:val="both"/>
              <w:rPr>
                <w:sz w:val="23"/>
                <w:szCs w:val="23"/>
              </w:rPr>
            </w:pPr>
            <w:r w:rsidRPr="007C1EF6">
              <w:rPr>
                <w:sz w:val="23"/>
                <w:szCs w:val="23"/>
              </w:rPr>
              <w:t xml:space="preserve">(5) Chỉ đạo Ban Quản lý dự án đầu tư xây dựng hạ tầng đô thị thành phố Hồ Chí Minh phối hợp với các cơ quan chức năng xác định rõ các nguyên nhân chủ quan, khách quan, trách nhiệm các bên liên quan đến việc chậm tiến độ thực hiện dự án để có cơ sở xử lý khoản thiệt hại do tăng chi phí cam kết vay, chênh lệch tỷ giá hối đoái, chi phí trượt giá và chi phí giám sát… theo đúng quy định của pháp luật; có giải pháp giải quyết triệt để những khó khăn vướng mắc trong quá trình thực hiện tránh việc tranh chấp kéo dài ảnh hưởng đến thời gian nghiệm thu, giải ngân, thực hiện dự án. </w:t>
            </w:r>
          </w:p>
          <w:p w14:paraId="77AD0E1C" w14:textId="77777777" w:rsidR="005C188D" w:rsidRPr="007C1EF6" w:rsidRDefault="005C188D" w:rsidP="0042173F">
            <w:pPr>
              <w:tabs>
                <w:tab w:val="left" w:leader="dot" w:pos="8900"/>
              </w:tabs>
              <w:ind w:right="66"/>
              <w:jc w:val="both"/>
              <w:rPr>
                <w:sz w:val="23"/>
                <w:szCs w:val="23"/>
              </w:rPr>
            </w:pPr>
            <w:r w:rsidRPr="007C1EF6">
              <w:rPr>
                <w:sz w:val="23"/>
                <w:szCs w:val="23"/>
              </w:rPr>
              <w:lastRenderedPageBreak/>
              <w:t xml:space="preserve">(6) Tổ chức rà soát, làm rõ nguyên nhân chủ quan, khách quan đối với các nội dung: Tỉ lệ giải ngân năm 2024 thấp, chậm tiến độ, tạm ứng chưa thông qua HDND 300 tỷ đồng để phát sinh chênh lệch tỉ giá 16,858 tỷ đồng, tiến độ nhập khẩu thiết bị chậm do có sự chưa thống nhất cách hiểu trong biểu giá mời thầu và dự thầu. Trên cở sở kết quả phân tích tổ chức kiểm điểm trách nhiệm tập thể cá nhân nếu có dấu hiệu lãng phí, thất thoát ngân sách nhà nước. </w:t>
            </w:r>
          </w:p>
          <w:p w14:paraId="6A34E1B6" w14:textId="45032F6C" w:rsidR="005C188D" w:rsidRPr="007C1EF6" w:rsidRDefault="005C188D" w:rsidP="0042173F">
            <w:pPr>
              <w:tabs>
                <w:tab w:val="left" w:leader="dot" w:pos="8900"/>
              </w:tabs>
              <w:ind w:right="68"/>
              <w:jc w:val="both"/>
              <w:rPr>
                <w:sz w:val="23"/>
                <w:szCs w:val="23"/>
                <w:lang w:val="pt-BR"/>
              </w:rPr>
            </w:pPr>
            <w:r w:rsidRPr="007C1EF6">
              <w:rPr>
                <w:sz w:val="23"/>
                <w:szCs w:val="23"/>
              </w:rPr>
              <w:t>(7) Chỉ đạo cơ quan chức năng kiểm tra làm rõ căn cứ, sự phù hợp của dự toán trong nội dung chi phí vận hành nhà máy xử lý nước thải, làm rõ tỷ lệ % công suất nhà máy vận hành mỗi năm để xác định lại chi phí vận hành mỗi năm, nếu có sai sót xử lý theo quy định của pháp luật.</w:t>
            </w:r>
          </w:p>
        </w:tc>
      </w:tr>
      <w:tr w:rsidR="005C188D" w:rsidRPr="007C1EF6" w14:paraId="02FDFB52" w14:textId="0D0413C0" w:rsidTr="005C188D">
        <w:trPr>
          <w:trHeight w:val="170"/>
          <w:jc w:val="center"/>
        </w:trPr>
        <w:tc>
          <w:tcPr>
            <w:tcW w:w="199" w:type="pct"/>
          </w:tcPr>
          <w:p w14:paraId="0F62C175" w14:textId="77777777" w:rsidR="005C188D" w:rsidRPr="007C1EF6" w:rsidRDefault="005C188D" w:rsidP="0042173F">
            <w:pPr>
              <w:pStyle w:val="ListParagraph"/>
              <w:widowControl w:val="0"/>
              <w:numPr>
                <w:ilvl w:val="0"/>
                <w:numId w:val="13"/>
              </w:numPr>
              <w:spacing w:after="0" w:line="240" w:lineRule="auto"/>
              <w:ind w:left="0" w:firstLine="82"/>
              <w:jc w:val="center"/>
              <w:rPr>
                <w:rFonts w:ascii="Times New Roman" w:hAnsi="Times New Roman"/>
                <w:sz w:val="23"/>
                <w:szCs w:val="23"/>
              </w:rPr>
            </w:pPr>
          </w:p>
        </w:tc>
        <w:tc>
          <w:tcPr>
            <w:tcW w:w="1221" w:type="pct"/>
          </w:tcPr>
          <w:p w14:paraId="5AA46C29" w14:textId="5FE54266" w:rsidR="005C188D" w:rsidRPr="007C1EF6" w:rsidRDefault="005C188D" w:rsidP="0042173F">
            <w:pPr>
              <w:ind w:right="238"/>
              <w:jc w:val="both"/>
              <w:rPr>
                <w:sz w:val="23"/>
                <w:szCs w:val="23"/>
              </w:rPr>
            </w:pPr>
            <w:r w:rsidRPr="007C1EF6">
              <w:rPr>
                <w:sz w:val="23"/>
                <w:szCs w:val="23"/>
              </w:rPr>
              <w:t>UBND Thành phố Hồ Chí Minh</w:t>
            </w:r>
          </w:p>
        </w:tc>
        <w:tc>
          <w:tcPr>
            <w:tcW w:w="1601" w:type="pct"/>
          </w:tcPr>
          <w:p w14:paraId="70D645BF" w14:textId="45AC9F84" w:rsidR="005C188D" w:rsidRPr="007C1EF6" w:rsidRDefault="005C188D" w:rsidP="0042173F">
            <w:pPr>
              <w:ind w:right="31"/>
              <w:jc w:val="both"/>
              <w:rPr>
                <w:rFonts w:eastAsia="MS Mincho"/>
                <w:bCs/>
                <w:sz w:val="23"/>
                <w:szCs w:val="23"/>
                <w:lang w:val="pt-BR"/>
              </w:rPr>
            </w:pPr>
            <w:r w:rsidRPr="007C1EF6">
              <w:rPr>
                <w:rFonts w:eastAsia="MS Mincho"/>
                <w:bCs/>
                <w:sz w:val="23"/>
                <w:szCs w:val="23"/>
                <w:lang w:val="it-IT"/>
              </w:rPr>
              <w:t>Hoạt động xây dựng và việc quản lý, sử dụng vốn đầu tư dự án Xây dựng đường nối đường Trần Quốc Hoàn - đường Cộng Hòa, quận Tân Bình</w:t>
            </w:r>
          </w:p>
        </w:tc>
        <w:tc>
          <w:tcPr>
            <w:tcW w:w="1980" w:type="pct"/>
          </w:tcPr>
          <w:p w14:paraId="6D817F9A" w14:textId="77777777" w:rsidR="005C188D" w:rsidRPr="007C1EF6" w:rsidRDefault="005C188D" w:rsidP="0042173F">
            <w:pPr>
              <w:tabs>
                <w:tab w:val="left" w:leader="dot" w:pos="8900"/>
              </w:tabs>
              <w:ind w:right="66"/>
              <w:jc w:val="both"/>
              <w:rPr>
                <w:iCs/>
                <w:sz w:val="23"/>
                <w:szCs w:val="23"/>
                <w:lang w:val="nl-NL"/>
              </w:rPr>
            </w:pPr>
            <w:r w:rsidRPr="007C1EF6">
              <w:rPr>
                <w:iCs/>
                <w:sz w:val="23"/>
                <w:szCs w:val="23"/>
                <w:lang w:val="nl-NL"/>
              </w:rPr>
              <w:t>(1) Chỉ đạo các đơn vị liên quan tổ chức kiểm tra, rà soát tình hình triển khai thực hiện của gói thầu Xây dựng hầm chui tại nút giao đường Trường Chinh – đường Tân Kỳ Tân Quý thuộc dự án Xây dựng đường nối đường Trần Quốc Hoàn – đường Cộng Hòa, quận Tân Bình và tổ chức kiểm điểm trách nhiệm tập thể, cá nhân và xem xét xử lý theo quy định (nếu có) nguy cơ xảy ra lãng phí do chậm triển khai gói thầu Xây dựng hầm chui tại nút giao đường Trường Chinh – đường Tân Kỳ Tân Quý và xác định chưa đúng tổng mức đầu tư dự án, thiếu sự kiểm tra, giám sát kịp thời dẫn đến việc đăng ký, bố trí vốn vượt nhu cầu làm ảnh hưởng đến nguồn lực tài chính của địa phương tại Ban Quản lý dự án đầu tư xây dựng các công trình giao thông.</w:t>
            </w:r>
          </w:p>
          <w:p w14:paraId="1C091CC6" w14:textId="77777777" w:rsidR="005C188D" w:rsidRPr="007C1EF6" w:rsidRDefault="005C188D" w:rsidP="0042173F">
            <w:pPr>
              <w:tabs>
                <w:tab w:val="left" w:leader="dot" w:pos="8900"/>
              </w:tabs>
              <w:ind w:right="66"/>
              <w:jc w:val="both"/>
              <w:rPr>
                <w:iCs/>
                <w:sz w:val="23"/>
                <w:szCs w:val="23"/>
                <w:lang w:val="nl-NL"/>
              </w:rPr>
            </w:pPr>
            <w:r w:rsidRPr="007C1EF6">
              <w:rPr>
                <w:iCs/>
                <w:sz w:val="23"/>
                <w:szCs w:val="23"/>
                <w:lang w:val="nl-NL"/>
              </w:rPr>
              <w:t>(2) Chỉ đạo Ban Quản lý dự án đầu tư xây dựng các công trình giao thông và các đơn vị liên quan rà soát, tham mưu điều chỉnh giảm Tổng mức đầu tư dự án; đồng thời chỉ đạo chủ đầu tư và đơn vị liên quan rà soát điều chỉnh KHV trung hạn, đảm bảo phát huy nguồn lực đầu tư công.</w:t>
            </w:r>
          </w:p>
          <w:p w14:paraId="673E9CF5" w14:textId="24A1AC13" w:rsidR="005C188D" w:rsidRPr="007C1EF6" w:rsidRDefault="005C188D" w:rsidP="0042173F">
            <w:pPr>
              <w:tabs>
                <w:tab w:val="left" w:leader="dot" w:pos="8900"/>
              </w:tabs>
              <w:ind w:right="68"/>
              <w:jc w:val="both"/>
              <w:rPr>
                <w:sz w:val="23"/>
                <w:szCs w:val="23"/>
                <w:lang w:val="pt-BR"/>
              </w:rPr>
            </w:pPr>
            <w:r w:rsidRPr="007C1EF6">
              <w:rPr>
                <w:iCs/>
                <w:sz w:val="23"/>
                <w:szCs w:val="23"/>
                <w:lang w:val="nl-NL"/>
              </w:rPr>
              <w:t xml:space="preserve">(3) Chỉ đạo cơ quan chuyên môn căn cứ theo quy định tại Luật Kiến trúc số 40/2019/QH14 ngày 13/6/2019 và các quy định liên quan, như Quy chế Quản lý kiến trúc do UBND thành phố ban hành để rà soát quy trình lựa chọn phương án thiết kế hạng mục cầu vượt trên cao, làm rõ nội </w:t>
            </w:r>
            <w:r w:rsidRPr="007C1EF6">
              <w:rPr>
                <w:iCs/>
                <w:sz w:val="23"/>
                <w:szCs w:val="23"/>
                <w:lang w:val="nl-NL"/>
              </w:rPr>
              <w:lastRenderedPageBreak/>
              <w:t>dung dự án Xây dựng đường nối đường Trần Quốc Hoàn – đường Cộng Hòa có yêu cầu thiết kế mỹ thuật các công trình giao thông theo tuyến hay không, trường hợp có sai sót gây lãng phí thì xử lý theo quy định của pháp luật.</w:t>
            </w:r>
          </w:p>
        </w:tc>
      </w:tr>
      <w:tr w:rsidR="005C188D" w:rsidRPr="007C1EF6" w14:paraId="2687B628" w14:textId="0B0843B5" w:rsidTr="005C188D">
        <w:trPr>
          <w:trHeight w:val="170"/>
          <w:jc w:val="center"/>
        </w:trPr>
        <w:tc>
          <w:tcPr>
            <w:tcW w:w="199" w:type="pct"/>
          </w:tcPr>
          <w:p w14:paraId="68206862" w14:textId="77777777" w:rsidR="005C188D" w:rsidRPr="007C1EF6" w:rsidRDefault="005C188D" w:rsidP="0042173F">
            <w:pPr>
              <w:pStyle w:val="ListParagraph"/>
              <w:widowControl w:val="0"/>
              <w:numPr>
                <w:ilvl w:val="0"/>
                <w:numId w:val="13"/>
              </w:numPr>
              <w:spacing w:after="0" w:line="240" w:lineRule="auto"/>
              <w:ind w:left="0" w:firstLine="82"/>
              <w:jc w:val="center"/>
              <w:rPr>
                <w:rFonts w:ascii="Times New Roman" w:hAnsi="Times New Roman"/>
                <w:sz w:val="23"/>
                <w:szCs w:val="23"/>
              </w:rPr>
            </w:pPr>
          </w:p>
        </w:tc>
        <w:tc>
          <w:tcPr>
            <w:tcW w:w="1221" w:type="pct"/>
          </w:tcPr>
          <w:p w14:paraId="3E5162C0" w14:textId="371B21DC" w:rsidR="005C188D" w:rsidRPr="007C1EF6" w:rsidRDefault="005C188D" w:rsidP="0042173F">
            <w:pPr>
              <w:ind w:right="238"/>
              <w:jc w:val="both"/>
              <w:rPr>
                <w:sz w:val="23"/>
                <w:szCs w:val="23"/>
              </w:rPr>
            </w:pPr>
            <w:r w:rsidRPr="007C1EF6">
              <w:rPr>
                <w:sz w:val="23"/>
                <w:szCs w:val="23"/>
              </w:rPr>
              <w:t>Bộ Xây dựng</w:t>
            </w:r>
          </w:p>
        </w:tc>
        <w:tc>
          <w:tcPr>
            <w:tcW w:w="1601" w:type="pct"/>
          </w:tcPr>
          <w:p w14:paraId="53462FD9" w14:textId="367CD065" w:rsidR="005C188D" w:rsidRPr="007C1EF6" w:rsidRDefault="005C188D" w:rsidP="0042173F">
            <w:pPr>
              <w:ind w:right="31"/>
              <w:jc w:val="both"/>
              <w:rPr>
                <w:rFonts w:eastAsia="MS Mincho"/>
                <w:bCs/>
                <w:sz w:val="23"/>
                <w:szCs w:val="23"/>
                <w:lang w:val="pt-BR"/>
              </w:rPr>
            </w:pPr>
            <w:r w:rsidRPr="007C1EF6">
              <w:rPr>
                <w:rFonts w:eastAsia="MS Mincho"/>
                <w:bCs/>
                <w:sz w:val="23"/>
                <w:szCs w:val="23"/>
                <w:lang w:val="it-IT"/>
              </w:rPr>
              <w:t>Hoạt động xây dựng và việc quản lý, sử dụng vốn đầu tư Dự án đầu tư xây dựng cầu Hòa Trung, tỉnh Cà Mau</w:t>
            </w:r>
          </w:p>
        </w:tc>
        <w:tc>
          <w:tcPr>
            <w:tcW w:w="1980" w:type="pct"/>
          </w:tcPr>
          <w:p w14:paraId="46A67857" w14:textId="323CC37D" w:rsidR="005C188D" w:rsidRPr="007C1EF6" w:rsidRDefault="005C188D" w:rsidP="0042173F">
            <w:pPr>
              <w:tabs>
                <w:tab w:val="left" w:leader="dot" w:pos="8900"/>
              </w:tabs>
              <w:ind w:right="68"/>
              <w:jc w:val="both"/>
              <w:rPr>
                <w:sz w:val="23"/>
                <w:szCs w:val="23"/>
                <w:lang w:val="pt-BR"/>
              </w:rPr>
            </w:pPr>
            <w:r w:rsidRPr="007C1EF6">
              <w:rPr>
                <w:iCs/>
                <w:sz w:val="23"/>
                <w:szCs w:val="23"/>
                <w:lang w:val="nl-NL"/>
              </w:rPr>
              <w:t>Nghiên cứu kết quả kiểm toán Dự án đầu tư xây dựng cầu Hòa Trung, tỉnh Cà Mau của Kiểm toán nhà nước để báo cáo cấp thẩm quyền xem xét, xử lý vướng mắc của dự án theo quy định.</w:t>
            </w:r>
          </w:p>
        </w:tc>
      </w:tr>
      <w:tr w:rsidR="005C188D" w:rsidRPr="007C1EF6" w14:paraId="7DE779C6" w14:textId="23095D24" w:rsidTr="005C188D">
        <w:trPr>
          <w:trHeight w:val="170"/>
          <w:jc w:val="center"/>
        </w:trPr>
        <w:tc>
          <w:tcPr>
            <w:tcW w:w="199" w:type="pct"/>
          </w:tcPr>
          <w:p w14:paraId="3F63EFB4" w14:textId="77777777" w:rsidR="005C188D" w:rsidRPr="007C1EF6" w:rsidRDefault="005C188D" w:rsidP="0042173F">
            <w:pPr>
              <w:pStyle w:val="ListParagraph"/>
              <w:widowControl w:val="0"/>
              <w:numPr>
                <w:ilvl w:val="0"/>
                <w:numId w:val="13"/>
              </w:numPr>
              <w:spacing w:after="0" w:line="240" w:lineRule="auto"/>
              <w:ind w:left="0" w:firstLine="82"/>
              <w:jc w:val="center"/>
              <w:rPr>
                <w:rFonts w:ascii="Times New Roman" w:hAnsi="Times New Roman"/>
                <w:sz w:val="23"/>
                <w:szCs w:val="23"/>
              </w:rPr>
            </w:pPr>
          </w:p>
        </w:tc>
        <w:tc>
          <w:tcPr>
            <w:tcW w:w="1221" w:type="pct"/>
          </w:tcPr>
          <w:p w14:paraId="77EF97B1" w14:textId="6D3D68BE" w:rsidR="005C188D" w:rsidRPr="007C1EF6" w:rsidRDefault="005C188D" w:rsidP="0042173F">
            <w:pPr>
              <w:ind w:right="238"/>
              <w:jc w:val="both"/>
              <w:rPr>
                <w:sz w:val="23"/>
                <w:szCs w:val="23"/>
              </w:rPr>
            </w:pPr>
            <w:r w:rsidRPr="007C1EF6">
              <w:rPr>
                <w:sz w:val="23"/>
                <w:szCs w:val="23"/>
              </w:rPr>
              <w:t>Ủy ban nhân dân thành phố Hồ Chí Minh</w:t>
            </w:r>
          </w:p>
        </w:tc>
        <w:tc>
          <w:tcPr>
            <w:tcW w:w="1601" w:type="pct"/>
          </w:tcPr>
          <w:p w14:paraId="3D9B5032" w14:textId="38E71338" w:rsidR="005C188D" w:rsidRPr="007C1EF6" w:rsidRDefault="005C188D" w:rsidP="0042173F">
            <w:pPr>
              <w:ind w:right="31"/>
              <w:jc w:val="both"/>
              <w:rPr>
                <w:rFonts w:eastAsia="MS Mincho"/>
                <w:bCs/>
                <w:sz w:val="23"/>
                <w:szCs w:val="23"/>
                <w:lang w:val="pt-BR"/>
              </w:rPr>
            </w:pPr>
            <w:r w:rsidRPr="007C1EF6">
              <w:rPr>
                <w:rFonts w:eastAsia="MS Mincho"/>
                <w:bCs/>
                <w:sz w:val="23"/>
                <w:szCs w:val="23"/>
              </w:rPr>
              <w:t>Hoạt động xây dựng và việc quản lý, sử dụng vốn đầu tư Dự án xây dựng nút giao thông An Phú, thành phố Thủ Đức</w:t>
            </w:r>
          </w:p>
        </w:tc>
        <w:tc>
          <w:tcPr>
            <w:tcW w:w="1980" w:type="pct"/>
          </w:tcPr>
          <w:p w14:paraId="52A290AF" w14:textId="77777777" w:rsidR="005C188D" w:rsidRPr="007C1EF6" w:rsidRDefault="005C188D" w:rsidP="0042173F">
            <w:pPr>
              <w:tabs>
                <w:tab w:val="left" w:leader="dot" w:pos="8900"/>
              </w:tabs>
              <w:ind w:right="66"/>
              <w:jc w:val="both"/>
              <w:rPr>
                <w:sz w:val="23"/>
                <w:szCs w:val="23"/>
              </w:rPr>
            </w:pPr>
            <w:r w:rsidRPr="007C1EF6">
              <w:rPr>
                <w:sz w:val="23"/>
                <w:szCs w:val="23"/>
              </w:rPr>
              <w:t>- Chủ trì, chỉ đạo các cơ quan đơn vị có liên quan (trường hợp cần thiết theo quy định khẩn trương báo cáo, xin ý kiến chỉ đạo cấp có thẩm quyền) có phương án xử lý, giải quyết dứt điểm vướng mắc về GPMB đối với phần diện tích thuộc phạm vi Dự án xây dựng hạ tầng kỹ thuật chính khu đô thị phát triển phường An Phú đảm bảo theo quy định để đáp ứng tiến độ thi công Dự án xây dựng nút giao thông An Phú.</w:t>
            </w:r>
          </w:p>
          <w:p w14:paraId="419565BC" w14:textId="77777777" w:rsidR="005C188D" w:rsidRPr="007C1EF6" w:rsidRDefault="005C188D" w:rsidP="0042173F">
            <w:pPr>
              <w:tabs>
                <w:tab w:val="left" w:leader="dot" w:pos="8900"/>
              </w:tabs>
              <w:ind w:right="66"/>
              <w:jc w:val="both"/>
              <w:rPr>
                <w:sz w:val="23"/>
                <w:szCs w:val="23"/>
              </w:rPr>
            </w:pPr>
            <w:r w:rsidRPr="007C1EF6">
              <w:rPr>
                <w:sz w:val="23"/>
                <w:szCs w:val="23"/>
              </w:rPr>
              <w:t xml:space="preserve">- Rà soát, xây dựng phương án cân đối vốn đảm bảo nhu cầu, cơ cấu nguồn vốn của Dự án theo đúng quy định, trong đó lưu ý Dự án đã sử dụng 40.627 triệu đồng từ nguồn NSTW để chi trả chi phí bồi thường, giải phóng mặt bằng. </w:t>
            </w:r>
          </w:p>
          <w:p w14:paraId="0A60616A" w14:textId="1B6CC72C" w:rsidR="005C188D" w:rsidRPr="007C1EF6" w:rsidRDefault="005C188D" w:rsidP="0042173F">
            <w:pPr>
              <w:tabs>
                <w:tab w:val="left" w:leader="dot" w:pos="8900"/>
              </w:tabs>
              <w:ind w:right="68"/>
              <w:jc w:val="both"/>
              <w:rPr>
                <w:sz w:val="23"/>
                <w:szCs w:val="23"/>
                <w:lang w:val="pt-BR"/>
              </w:rPr>
            </w:pPr>
            <w:r w:rsidRPr="007C1EF6">
              <w:rPr>
                <w:sz w:val="23"/>
                <w:szCs w:val="23"/>
              </w:rPr>
              <w:t>-  Chỉ đạo các tổ chức, cá nhân có liên quan tổ chức chấn chỉnh rút kinh nghiệm đối với những tồn tại, hạn chế, sai sót trong: (i) Công tác lập, thẩm tra, thẩm định, trình phê duyệt chủ trương đầu tư; (ii) Công tác lập, thẩm tra, thẩm định, phê duyệt dự án; (iii) Công tác bố trí, sử dụng vốn cho dự án.</w:t>
            </w:r>
          </w:p>
        </w:tc>
      </w:tr>
      <w:tr w:rsidR="005C188D" w:rsidRPr="007C1EF6" w14:paraId="479EACE5" w14:textId="7180FCA6" w:rsidTr="005C188D">
        <w:trPr>
          <w:trHeight w:val="170"/>
          <w:jc w:val="center"/>
        </w:trPr>
        <w:tc>
          <w:tcPr>
            <w:tcW w:w="199" w:type="pct"/>
          </w:tcPr>
          <w:p w14:paraId="38587866" w14:textId="77777777" w:rsidR="005C188D" w:rsidRPr="007C1EF6" w:rsidRDefault="005C188D" w:rsidP="0042173F">
            <w:pPr>
              <w:pStyle w:val="ListParagraph"/>
              <w:widowControl w:val="0"/>
              <w:numPr>
                <w:ilvl w:val="0"/>
                <w:numId w:val="13"/>
              </w:numPr>
              <w:spacing w:after="0" w:line="240" w:lineRule="auto"/>
              <w:ind w:left="0" w:firstLine="82"/>
              <w:jc w:val="center"/>
              <w:rPr>
                <w:rFonts w:ascii="Times New Roman" w:hAnsi="Times New Roman"/>
                <w:sz w:val="23"/>
                <w:szCs w:val="23"/>
              </w:rPr>
            </w:pPr>
          </w:p>
        </w:tc>
        <w:tc>
          <w:tcPr>
            <w:tcW w:w="1221" w:type="pct"/>
          </w:tcPr>
          <w:p w14:paraId="350FBB0B" w14:textId="225EB2F5" w:rsidR="005C188D" w:rsidRPr="007C1EF6" w:rsidRDefault="005C188D" w:rsidP="0042173F">
            <w:pPr>
              <w:ind w:right="238"/>
              <w:jc w:val="both"/>
              <w:rPr>
                <w:sz w:val="23"/>
                <w:szCs w:val="23"/>
              </w:rPr>
            </w:pPr>
            <w:r w:rsidRPr="007C1EF6">
              <w:rPr>
                <w:sz w:val="23"/>
                <w:szCs w:val="23"/>
              </w:rPr>
              <w:t>UBND tỉnh Đồng Tháp</w:t>
            </w:r>
          </w:p>
        </w:tc>
        <w:tc>
          <w:tcPr>
            <w:tcW w:w="1601" w:type="pct"/>
          </w:tcPr>
          <w:p w14:paraId="3787749B" w14:textId="092CF383" w:rsidR="005C188D" w:rsidRPr="007C1EF6" w:rsidRDefault="005C188D" w:rsidP="0042173F">
            <w:pPr>
              <w:ind w:right="31"/>
              <w:jc w:val="both"/>
              <w:rPr>
                <w:rFonts w:eastAsia="MS Mincho"/>
                <w:bCs/>
                <w:sz w:val="23"/>
                <w:szCs w:val="23"/>
                <w:lang w:val="pt-BR"/>
              </w:rPr>
            </w:pPr>
            <w:r w:rsidRPr="007C1EF6">
              <w:rPr>
                <w:rFonts w:eastAsia="MS Mincho"/>
                <w:bCs/>
                <w:sz w:val="23"/>
                <w:szCs w:val="23"/>
                <w:lang w:val="pt-BR"/>
              </w:rPr>
              <w:t>Hoạt động xây dựng và việc quản lý, sử dụng vốn đầu tư Dự án xây dựng công trình đường bộ cao tốc Cao Lãnh - An Hữu, giai đoạn 1 (Dự án thành phần 1)</w:t>
            </w:r>
          </w:p>
        </w:tc>
        <w:tc>
          <w:tcPr>
            <w:tcW w:w="1980" w:type="pct"/>
          </w:tcPr>
          <w:p w14:paraId="0A18F03E" w14:textId="77777777" w:rsidR="005C188D" w:rsidRPr="007C1EF6" w:rsidRDefault="005C188D" w:rsidP="0042173F">
            <w:pPr>
              <w:tabs>
                <w:tab w:val="left" w:leader="dot" w:pos="8900"/>
              </w:tabs>
              <w:ind w:right="68"/>
              <w:jc w:val="both"/>
              <w:rPr>
                <w:sz w:val="23"/>
                <w:szCs w:val="23"/>
              </w:rPr>
            </w:pPr>
            <w:r w:rsidRPr="007C1EF6">
              <w:rPr>
                <w:sz w:val="23"/>
                <w:szCs w:val="23"/>
              </w:rPr>
              <w:t>Đề nghị UBND tỉnh Đồng Tháp chỉ đạo, tổ chức thực hiện và kiểm tra, kiểm soát kết quả thực hiện của các đơn vị và chịu trách nhiệm trước pháp luật về kết quả thực hiện đối với các kiến nghị. Cụ thể:</w:t>
            </w:r>
          </w:p>
          <w:p w14:paraId="79C52262" w14:textId="77777777" w:rsidR="005C188D" w:rsidRPr="007C1EF6" w:rsidRDefault="005C188D" w:rsidP="0042173F">
            <w:pPr>
              <w:tabs>
                <w:tab w:val="left" w:leader="dot" w:pos="8900"/>
              </w:tabs>
              <w:ind w:right="68"/>
              <w:jc w:val="both"/>
              <w:rPr>
                <w:sz w:val="23"/>
                <w:szCs w:val="23"/>
              </w:rPr>
            </w:pPr>
            <w:r w:rsidRPr="007C1EF6">
              <w:rPr>
                <w:sz w:val="23"/>
                <w:szCs w:val="23"/>
              </w:rPr>
              <w:t xml:space="preserve">4.1. Kiến nghị công tác quản lý dự án đầu tư xây dựng công trình: </w:t>
            </w:r>
          </w:p>
          <w:p w14:paraId="1AC4FBB8" w14:textId="77777777" w:rsidR="005C188D" w:rsidRPr="007C1EF6" w:rsidRDefault="005C188D" w:rsidP="0042173F">
            <w:pPr>
              <w:tabs>
                <w:tab w:val="left" w:leader="dot" w:pos="8900"/>
              </w:tabs>
              <w:ind w:right="68"/>
              <w:jc w:val="both"/>
              <w:rPr>
                <w:sz w:val="23"/>
                <w:szCs w:val="23"/>
              </w:rPr>
            </w:pPr>
            <w:r w:rsidRPr="007C1EF6">
              <w:rPr>
                <w:sz w:val="23"/>
                <w:szCs w:val="23"/>
              </w:rPr>
              <w:t>4.1.1. Chỉ đạo Sở Xây dựng, Ban quản lý dự án tỉnh Đồng Tháp, Trung tâm Phát triển quỹ đất và các đơn vị liên quan nghiêm túc thực hiện các kết luận, kiến nghị của Kiểm toán nhà nước.</w:t>
            </w:r>
          </w:p>
          <w:p w14:paraId="11F98DE6" w14:textId="77777777" w:rsidR="005C188D" w:rsidRPr="007C1EF6" w:rsidRDefault="005C188D" w:rsidP="0042173F">
            <w:pPr>
              <w:tabs>
                <w:tab w:val="left" w:leader="dot" w:pos="8900"/>
              </w:tabs>
              <w:ind w:right="68"/>
              <w:jc w:val="both"/>
              <w:rPr>
                <w:sz w:val="23"/>
                <w:szCs w:val="23"/>
              </w:rPr>
            </w:pPr>
            <w:r w:rsidRPr="007C1EF6">
              <w:rPr>
                <w:sz w:val="23"/>
                <w:szCs w:val="23"/>
              </w:rPr>
              <w:lastRenderedPageBreak/>
              <w:t>4.1.2. Chỉ đạo Chủ đầu tư cùng các đơn vị có liên quan phối hợp kiểm tra, rà soát, cập nhật, chuẩn xác tổng mức đầu tư của Dự án thành phần 1 theo đúng quy định. Sau khi rà soát cập nhật lại Tổng mức đầu tư dự án thành phần, đề nghị UBND tỉnh Đồng Tháp tuân thủ đúng quy định tại điểm a khoản 3 Điều 2 Quyết định số 17/2022/QĐ-TTg ngày 28/7/2022 “Bố trí vốn đầu tư (kể cả trong trường hợp phát sinh tăng Tổng mức đầu tư) để hoàn thành dự án đúng tiến độ ”.</w:t>
            </w:r>
          </w:p>
          <w:p w14:paraId="2DC5720B" w14:textId="77777777" w:rsidR="005C188D" w:rsidRPr="007C1EF6" w:rsidRDefault="005C188D" w:rsidP="0042173F">
            <w:pPr>
              <w:tabs>
                <w:tab w:val="left" w:leader="dot" w:pos="8900"/>
              </w:tabs>
              <w:ind w:right="68"/>
              <w:jc w:val="both"/>
              <w:rPr>
                <w:sz w:val="23"/>
                <w:szCs w:val="23"/>
              </w:rPr>
            </w:pPr>
            <w:r w:rsidRPr="007C1EF6">
              <w:rPr>
                <w:sz w:val="23"/>
                <w:szCs w:val="23"/>
              </w:rPr>
              <w:t>4.1.3. Chỉ đạo các đơn vị có liên quan rà soát điều chỉnh, bổ sung danh mục tiêu chuẩn kỹ thuật áp dụng cho dự án và phê duyệt điều chỉnh Quyết định số 1185/QĐ-UBND-HC ngày 01/11/2022 của UBND tỉnh Đồng Tháp để thay thế tiêu chuẩn cũ, bổ sung tiêu chuẩn còn thiếu cho dự án.</w:t>
            </w:r>
          </w:p>
          <w:p w14:paraId="0AB4E066" w14:textId="77777777" w:rsidR="005C188D" w:rsidRPr="007C1EF6" w:rsidRDefault="005C188D" w:rsidP="0042173F">
            <w:pPr>
              <w:tabs>
                <w:tab w:val="left" w:leader="dot" w:pos="8900"/>
              </w:tabs>
              <w:ind w:right="68"/>
              <w:jc w:val="both"/>
              <w:rPr>
                <w:sz w:val="23"/>
                <w:szCs w:val="23"/>
              </w:rPr>
            </w:pPr>
            <w:r w:rsidRPr="007C1EF6">
              <w:rPr>
                <w:sz w:val="23"/>
                <w:szCs w:val="23"/>
              </w:rPr>
              <w:t>4.1.4. Chỉ đạo cơ quan thuế: (i). Kiểm tra, làm rõ và xử lý theo đúng quy định của pháp luật việc Công ty Cổ phần Đầu tư xây dựng và Kỹ thuật VNCN E&amp;C - Chi nhánh Đồng Tháp đến thời điểm kiểm toán (31/5/2025) chưa thực hiện kê khai nộp các loại thuế, phí (Thuế Giá trị gia tăng; Thuế tài nguyên; Phí bảo vệ môi trường) số tiền 3.355.743.854 đồng (Phụ biểu số 04/BCKT-DAĐT), tránh thất thu ngân sách nhà nước; (ii). Có biện pháp đôn đốc Công ty Cổ phần Đầu tư xây dựng và Kỹ thuật VNCN E&amp;C - Chi nhánh Đồng Tháp nộp tiền thuê mặt nước số tiền 1.071.900.000 đồng kịp thời vào ngân sách nhà nước theo Thông báo nộp tiền thuê nước mặt số 875/TB-CLA ngày 17/4/2025 và Quyết định số 81/QĐ-CCTKV.XIX ngày 04/6/2025 của Chi cục thuế khu vực XIX.</w:t>
            </w:r>
          </w:p>
          <w:p w14:paraId="581158B5" w14:textId="77777777" w:rsidR="005C188D" w:rsidRPr="007C1EF6" w:rsidRDefault="005C188D" w:rsidP="0042173F">
            <w:pPr>
              <w:tabs>
                <w:tab w:val="left" w:leader="dot" w:pos="8900"/>
              </w:tabs>
              <w:ind w:right="68"/>
              <w:jc w:val="both"/>
              <w:rPr>
                <w:sz w:val="23"/>
                <w:szCs w:val="23"/>
              </w:rPr>
            </w:pPr>
            <w:r w:rsidRPr="007C1EF6">
              <w:rPr>
                <w:sz w:val="23"/>
                <w:szCs w:val="23"/>
              </w:rPr>
              <w:t xml:space="preserve">4.1.5. Xin ý kiến Bộ Tài chính về việc “thực hiện nộp tiền để bảo vệ, phát triển đất trồng lúa” đối với Dự án thành phần 1 được phê duyệt trước thời điểm Nghị định số 112/2024/NĐ-CP ngày 11/9/2024 quy định chi tiết về đất trồng lúa có hiệu lực tuy nhiên chưa thực hiện nộp tiền bảo vệ, phát triển đất trồng lúa theo quy định tại 1 Điều 5 Nghị định số 35/2015/NĐ-CP ngày 13/4/2015 của Chính phủ về quản lý, sử dụng đất trồng lúa. </w:t>
            </w:r>
          </w:p>
          <w:p w14:paraId="2C8505AD" w14:textId="77777777" w:rsidR="005C188D" w:rsidRPr="007C1EF6" w:rsidRDefault="005C188D" w:rsidP="0042173F">
            <w:pPr>
              <w:tabs>
                <w:tab w:val="left" w:leader="dot" w:pos="8900"/>
              </w:tabs>
              <w:ind w:right="68"/>
              <w:jc w:val="both"/>
              <w:rPr>
                <w:sz w:val="23"/>
                <w:szCs w:val="23"/>
              </w:rPr>
            </w:pPr>
            <w:r w:rsidRPr="007C1EF6">
              <w:rPr>
                <w:sz w:val="23"/>
                <w:szCs w:val="23"/>
              </w:rPr>
              <w:lastRenderedPageBreak/>
              <w:t>4.2. Kiến nghị chấn chỉnh, rút kinh nghiệm: Chỉ đạo các đơn vị có liên quan chấn chỉnh, rút kinh nghiệm trong việc sau: (i). Việc lập tổng mức đầu tư còn chưa chính xác và một số nội dung nhiệm vụ còn thiếu dẫn đến quá trình thực hiện phải điều chỉnh; (ii). Tham mưu UBND tỉnh phê duyệt dự án thành phần 1 có tổng nguồn vốn 5.886 tỷ đồng không phù hợp; (iii). UBND tỉnh phê duyệt quyết định dự án đầu tư chậm khoảng 1,5 tháng so với quy định.</w:t>
            </w:r>
          </w:p>
          <w:p w14:paraId="0637833C" w14:textId="77777777" w:rsidR="005C188D" w:rsidRPr="007C1EF6" w:rsidRDefault="005C188D" w:rsidP="0042173F">
            <w:pPr>
              <w:tabs>
                <w:tab w:val="left" w:leader="dot" w:pos="8900"/>
              </w:tabs>
              <w:ind w:right="68"/>
              <w:jc w:val="both"/>
              <w:rPr>
                <w:sz w:val="23"/>
                <w:szCs w:val="23"/>
              </w:rPr>
            </w:pPr>
            <w:r w:rsidRPr="007C1EF6">
              <w:rPr>
                <w:sz w:val="23"/>
                <w:szCs w:val="23"/>
              </w:rPr>
              <w:t>4.3. Chỉ đạo các đơn vị có liên quan báo cáo UBND tỉnh tiến độ thực hiện Dự án và tham mưu UBND tỉnh giải pháp để hoàn thành Dự án trong năm 2025 (việc đẩy nhanh tiến độ của Dự án phải phát huy được hiệu quả của Dự án, không làm tăng tổng mức đầu tư, đảm bảo chất lượng công trình và không phát sinh nợ đọng xây dựng cơ bản). Nếu dự án không thể hoàn thành trong năm 2025 thì phải có Văn bản Báo cáo Thủ tướng Chính phủ.</w:t>
            </w:r>
          </w:p>
          <w:p w14:paraId="62912F74" w14:textId="1AB24FEB" w:rsidR="005C188D" w:rsidRPr="007C1EF6" w:rsidRDefault="005C188D" w:rsidP="0042173F">
            <w:pPr>
              <w:tabs>
                <w:tab w:val="left" w:leader="dot" w:pos="8900"/>
              </w:tabs>
              <w:ind w:right="68"/>
              <w:jc w:val="both"/>
              <w:rPr>
                <w:sz w:val="23"/>
                <w:szCs w:val="23"/>
                <w:lang w:val="pt-BR"/>
              </w:rPr>
            </w:pPr>
            <w:r w:rsidRPr="007C1EF6">
              <w:rPr>
                <w:sz w:val="23"/>
                <w:szCs w:val="23"/>
              </w:rPr>
              <w:t>4.4. Chỉ đạo các đơn vị có liên quan tham mưu UBND tỉnh quyết định và chịu trách nhiệm trước quyết định của mình việc kết nối Dự án với các hệ thống giao thông khác để Dự án khi hoàn thành thì phát huy được hiệu quả của dự án</w:t>
            </w:r>
          </w:p>
        </w:tc>
      </w:tr>
      <w:tr w:rsidR="005C188D" w:rsidRPr="007C1EF6" w14:paraId="19240666" w14:textId="71D69B98" w:rsidTr="005C188D">
        <w:trPr>
          <w:trHeight w:val="170"/>
          <w:jc w:val="center"/>
        </w:trPr>
        <w:tc>
          <w:tcPr>
            <w:tcW w:w="199" w:type="pct"/>
          </w:tcPr>
          <w:p w14:paraId="2D5BB8CA" w14:textId="77777777" w:rsidR="005C188D" w:rsidRPr="007C1EF6" w:rsidRDefault="005C188D" w:rsidP="0042173F">
            <w:pPr>
              <w:pStyle w:val="ListParagraph"/>
              <w:widowControl w:val="0"/>
              <w:numPr>
                <w:ilvl w:val="0"/>
                <w:numId w:val="13"/>
              </w:numPr>
              <w:spacing w:after="0" w:line="240" w:lineRule="auto"/>
              <w:ind w:left="0" w:firstLine="82"/>
              <w:jc w:val="center"/>
              <w:rPr>
                <w:rFonts w:ascii="Times New Roman" w:hAnsi="Times New Roman"/>
                <w:sz w:val="23"/>
                <w:szCs w:val="23"/>
              </w:rPr>
            </w:pPr>
          </w:p>
        </w:tc>
        <w:tc>
          <w:tcPr>
            <w:tcW w:w="1221" w:type="pct"/>
          </w:tcPr>
          <w:p w14:paraId="32CCF0EE" w14:textId="25732AAF" w:rsidR="005C188D" w:rsidRPr="007C1EF6" w:rsidRDefault="005C188D" w:rsidP="0042173F">
            <w:pPr>
              <w:ind w:right="238"/>
              <w:jc w:val="both"/>
              <w:rPr>
                <w:sz w:val="23"/>
                <w:szCs w:val="23"/>
              </w:rPr>
            </w:pPr>
            <w:r w:rsidRPr="007C1EF6">
              <w:rPr>
                <w:sz w:val="23"/>
                <w:szCs w:val="23"/>
              </w:rPr>
              <w:t>Ủy ban nhân dân thành phố Hồ Chí Minh</w:t>
            </w:r>
          </w:p>
        </w:tc>
        <w:tc>
          <w:tcPr>
            <w:tcW w:w="1601" w:type="pct"/>
          </w:tcPr>
          <w:p w14:paraId="7B43A23D" w14:textId="7529324F" w:rsidR="005C188D" w:rsidRPr="007C1EF6" w:rsidRDefault="005C188D" w:rsidP="0042173F">
            <w:pPr>
              <w:ind w:right="31"/>
              <w:jc w:val="both"/>
              <w:rPr>
                <w:rFonts w:eastAsia="MS Mincho"/>
                <w:bCs/>
                <w:sz w:val="23"/>
                <w:szCs w:val="23"/>
                <w:lang w:val="pt-BR"/>
              </w:rPr>
            </w:pPr>
            <w:r w:rsidRPr="007C1EF6">
              <w:rPr>
                <w:rFonts w:eastAsia="MS Mincho"/>
                <w:bCs/>
                <w:sz w:val="23"/>
                <w:szCs w:val="23"/>
                <w:lang w:val="pt-BR"/>
              </w:rPr>
              <w:t>Hoạt động xây dựng và việc quản lý, sử dụng vốn đầu tư Dự án cầu Phước An, thị xã Phú Mỹ, tỉnh Bà Rịa - Vũng Tàu và huyện Nhơn Trạch, tỉnh Đồng Nai</w:t>
            </w:r>
          </w:p>
        </w:tc>
        <w:tc>
          <w:tcPr>
            <w:tcW w:w="1980" w:type="pct"/>
          </w:tcPr>
          <w:p w14:paraId="06CB497D" w14:textId="77777777" w:rsidR="005C188D" w:rsidRPr="007C1EF6" w:rsidRDefault="005C188D" w:rsidP="0042173F">
            <w:pPr>
              <w:tabs>
                <w:tab w:val="left" w:leader="dot" w:pos="8900"/>
              </w:tabs>
              <w:ind w:right="68"/>
              <w:jc w:val="both"/>
              <w:rPr>
                <w:sz w:val="23"/>
                <w:szCs w:val="23"/>
                <w:lang w:val="pt-BR"/>
              </w:rPr>
            </w:pPr>
            <w:r w:rsidRPr="007C1EF6">
              <w:rPr>
                <w:sz w:val="23"/>
                <w:szCs w:val="23"/>
                <w:lang w:val="pt-BR"/>
              </w:rPr>
              <w:t>- Có biện pháp phối hợp với UBND tỉnh Đồng Nai khẩn trương giải quyết dứt điểm những vướng mắc trong công tác GPMB, sớm bàn giao mặt bằng các vị trí còn lại cho các đơn vị thi công đáp ứng tiến độ thực hiện Dự án.</w:t>
            </w:r>
          </w:p>
          <w:p w14:paraId="3FCEEE44" w14:textId="77777777" w:rsidR="005C188D" w:rsidRPr="007C1EF6" w:rsidRDefault="005C188D" w:rsidP="0042173F">
            <w:pPr>
              <w:tabs>
                <w:tab w:val="left" w:leader="dot" w:pos="8900"/>
              </w:tabs>
              <w:ind w:right="68"/>
              <w:jc w:val="both"/>
              <w:rPr>
                <w:sz w:val="23"/>
                <w:szCs w:val="23"/>
                <w:lang w:val="pt-BR"/>
              </w:rPr>
            </w:pPr>
            <w:r w:rsidRPr="007C1EF6">
              <w:rPr>
                <w:sz w:val="23"/>
                <w:szCs w:val="23"/>
                <w:lang w:val="pt-BR"/>
              </w:rPr>
              <w:t>- Rà soát, xem xét lưu lượng, làm việc với cơ quan có thẩm quyền để có giải pháp đồng bộ về mặt cắt ngang giữa các đoạn tuyến từ cảng Cái Mép tới đường cao tốc Bắc Nam để phát huy cao nhất hiệu quả đầu tư.</w:t>
            </w:r>
          </w:p>
          <w:p w14:paraId="6CB3FECF" w14:textId="009786D7" w:rsidR="005C188D" w:rsidRPr="007C1EF6" w:rsidRDefault="005C188D" w:rsidP="0042173F">
            <w:pPr>
              <w:tabs>
                <w:tab w:val="left" w:leader="dot" w:pos="8900"/>
              </w:tabs>
              <w:ind w:right="68"/>
              <w:jc w:val="both"/>
              <w:rPr>
                <w:sz w:val="23"/>
                <w:szCs w:val="23"/>
                <w:lang w:val="pt-BR"/>
              </w:rPr>
            </w:pPr>
            <w:r w:rsidRPr="007C1EF6">
              <w:rPr>
                <w:sz w:val="23"/>
                <w:szCs w:val="23"/>
                <w:lang w:val="pt-BR"/>
              </w:rPr>
              <w:t>- Chỉ đạo các đơn vị liên quan thực hiện nghiêm túc kết luận, kiến nghị của Kiểm toán nhà nước, xem xét báo cáo của Ban quản lý dự án Giao thông Khu vực và Chuyên ngành Nông nghiệp để tổ chức thực hiện đảm bảo theo quy định.</w:t>
            </w:r>
          </w:p>
        </w:tc>
      </w:tr>
      <w:tr w:rsidR="005C188D" w:rsidRPr="007C1EF6" w14:paraId="57933B3B" w14:textId="3B8416C7" w:rsidTr="005C188D">
        <w:trPr>
          <w:trHeight w:val="170"/>
          <w:jc w:val="center"/>
        </w:trPr>
        <w:tc>
          <w:tcPr>
            <w:tcW w:w="199" w:type="pct"/>
          </w:tcPr>
          <w:p w14:paraId="30C7A444" w14:textId="77777777" w:rsidR="005C188D" w:rsidRPr="007C1EF6" w:rsidRDefault="005C188D" w:rsidP="0042173F">
            <w:pPr>
              <w:pStyle w:val="ListParagraph"/>
              <w:widowControl w:val="0"/>
              <w:numPr>
                <w:ilvl w:val="0"/>
                <w:numId w:val="13"/>
              </w:numPr>
              <w:spacing w:after="0" w:line="240" w:lineRule="auto"/>
              <w:ind w:left="0" w:firstLine="82"/>
              <w:jc w:val="center"/>
              <w:rPr>
                <w:rFonts w:ascii="Times New Roman" w:hAnsi="Times New Roman"/>
                <w:sz w:val="23"/>
                <w:szCs w:val="23"/>
              </w:rPr>
            </w:pPr>
          </w:p>
        </w:tc>
        <w:tc>
          <w:tcPr>
            <w:tcW w:w="1221" w:type="pct"/>
          </w:tcPr>
          <w:p w14:paraId="75F57FE5" w14:textId="747ED7D3" w:rsidR="005C188D" w:rsidRPr="007C1EF6" w:rsidRDefault="005C188D" w:rsidP="0042173F">
            <w:pPr>
              <w:ind w:right="238"/>
              <w:jc w:val="both"/>
              <w:rPr>
                <w:sz w:val="23"/>
                <w:szCs w:val="23"/>
              </w:rPr>
            </w:pPr>
            <w:r w:rsidRPr="007C1EF6">
              <w:rPr>
                <w:sz w:val="23"/>
                <w:szCs w:val="23"/>
              </w:rPr>
              <w:t>Bộ Xây dựng</w:t>
            </w:r>
          </w:p>
        </w:tc>
        <w:tc>
          <w:tcPr>
            <w:tcW w:w="1601" w:type="pct"/>
          </w:tcPr>
          <w:p w14:paraId="6638610F" w14:textId="54FF94E9" w:rsidR="005C188D" w:rsidRPr="007C1EF6" w:rsidRDefault="005C188D" w:rsidP="0042173F">
            <w:pPr>
              <w:ind w:right="31"/>
              <w:jc w:val="both"/>
              <w:rPr>
                <w:rFonts w:eastAsia="MS Mincho"/>
                <w:bCs/>
                <w:sz w:val="23"/>
                <w:szCs w:val="23"/>
                <w:lang w:val="pt-BR"/>
              </w:rPr>
            </w:pPr>
            <w:r w:rsidRPr="007C1EF6">
              <w:rPr>
                <w:rFonts w:eastAsia="MS Mincho"/>
                <w:bCs/>
                <w:sz w:val="23"/>
                <w:szCs w:val="23"/>
                <w:lang w:val="pt-BR"/>
              </w:rPr>
              <w:t xml:space="preserve">Hoạt động xây dựng và việc quản lý, sử dụng vốn đầu tư Dự án đầu tư xây dựng Đường Hồ </w:t>
            </w:r>
            <w:r w:rsidRPr="007C1EF6">
              <w:rPr>
                <w:rFonts w:eastAsia="MS Mincho"/>
                <w:bCs/>
                <w:sz w:val="23"/>
                <w:szCs w:val="23"/>
                <w:lang w:val="pt-BR"/>
              </w:rPr>
              <w:lastRenderedPageBreak/>
              <w:t>Chí Minh đoạn Rạch Sỏi - Bến Nhất, Gò Quao - Vĩnh Thuận</w:t>
            </w:r>
          </w:p>
        </w:tc>
        <w:tc>
          <w:tcPr>
            <w:tcW w:w="1980" w:type="pct"/>
          </w:tcPr>
          <w:p w14:paraId="1E1AA477" w14:textId="77777777" w:rsidR="005C188D" w:rsidRPr="007C1EF6" w:rsidRDefault="005C188D" w:rsidP="0042173F">
            <w:pPr>
              <w:tabs>
                <w:tab w:val="left" w:leader="dot" w:pos="8900"/>
              </w:tabs>
              <w:ind w:right="68"/>
              <w:jc w:val="both"/>
              <w:rPr>
                <w:sz w:val="23"/>
                <w:szCs w:val="23"/>
                <w:lang w:val="pt-BR"/>
              </w:rPr>
            </w:pPr>
            <w:r w:rsidRPr="007C1EF6">
              <w:rPr>
                <w:sz w:val="23"/>
                <w:szCs w:val="23"/>
                <w:lang w:val="pt-BR"/>
              </w:rPr>
              <w:lastRenderedPageBreak/>
              <w:t>- Chỉ đạo Ban QLDA Đường Hồ Chí Minh thực hiện đầy đủ, nghiêm túc, đúng tiến độ các kiến nghị của Kiểm toán nhà nước.</w:t>
            </w:r>
          </w:p>
          <w:p w14:paraId="7F2426F8" w14:textId="77777777" w:rsidR="005C188D" w:rsidRPr="007C1EF6" w:rsidRDefault="005C188D" w:rsidP="0042173F">
            <w:pPr>
              <w:tabs>
                <w:tab w:val="left" w:leader="dot" w:pos="8900"/>
              </w:tabs>
              <w:ind w:right="68"/>
              <w:jc w:val="both"/>
              <w:rPr>
                <w:sz w:val="23"/>
                <w:szCs w:val="23"/>
                <w:lang w:val="pt-BR"/>
              </w:rPr>
            </w:pPr>
            <w:r w:rsidRPr="007C1EF6">
              <w:rPr>
                <w:sz w:val="23"/>
                <w:szCs w:val="23"/>
                <w:lang w:val="pt-BR"/>
              </w:rPr>
              <w:lastRenderedPageBreak/>
              <w:t xml:space="preserve">- Chỉ đạo Ban QLDA Đường Hồ Chí Minh và các đơn vị có liên quan tổ chức kiểm tra, rà soát, xác định lại cước vận chuyển vật liệu bằng đường sông trong dự toán các gói thầu xây lắp, có biện pháp xử lý theo đúng quy định của pháp luật đảm bảo tránh thất thoát, lãng phí NSNN, đồng thời chịu trách nhiệm trước pháp luật về quyết định của mình. </w:t>
            </w:r>
          </w:p>
          <w:p w14:paraId="1BF079CF" w14:textId="28F7EBB6" w:rsidR="005C188D" w:rsidRPr="007C1EF6" w:rsidRDefault="005C188D" w:rsidP="0042173F">
            <w:pPr>
              <w:tabs>
                <w:tab w:val="left" w:leader="dot" w:pos="8900"/>
              </w:tabs>
              <w:ind w:right="68"/>
              <w:jc w:val="both"/>
              <w:rPr>
                <w:sz w:val="23"/>
                <w:szCs w:val="23"/>
                <w:lang w:val="pt-BR"/>
              </w:rPr>
            </w:pPr>
            <w:r w:rsidRPr="007C1EF6">
              <w:rPr>
                <w:sz w:val="23"/>
                <w:szCs w:val="23"/>
                <w:lang w:val="pt-BR"/>
              </w:rPr>
              <w:t>- Tổ chức kiểm điểm, chấn chỉnh rút kinh nghiệm đối với tập thể, cá nhân liên quan tới tồn tại trong công tác thẩm định, phê duyệt dự án đầu tư, công tác thẩm định thiết kế kỹ thuật - dự toán.</w:t>
            </w:r>
          </w:p>
        </w:tc>
      </w:tr>
      <w:tr w:rsidR="005C188D" w:rsidRPr="007C1EF6" w14:paraId="76316705" w14:textId="77AED04A" w:rsidTr="005C188D">
        <w:trPr>
          <w:trHeight w:val="170"/>
          <w:jc w:val="center"/>
        </w:trPr>
        <w:tc>
          <w:tcPr>
            <w:tcW w:w="199" w:type="pct"/>
          </w:tcPr>
          <w:p w14:paraId="46542BE3" w14:textId="77777777" w:rsidR="005C188D" w:rsidRPr="007C1EF6" w:rsidRDefault="005C188D" w:rsidP="0042173F">
            <w:pPr>
              <w:pStyle w:val="ListParagraph"/>
              <w:widowControl w:val="0"/>
              <w:numPr>
                <w:ilvl w:val="0"/>
                <w:numId w:val="13"/>
              </w:numPr>
              <w:spacing w:after="0" w:line="240" w:lineRule="auto"/>
              <w:ind w:left="0" w:firstLine="82"/>
              <w:jc w:val="center"/>
              <w:rPr>
                <w:rFonts w:ascii="Times New Roman" w:hAnsi="Times New Roman"/>
                <w:sz w:val="23"/>
                <w:szCs w:val="23"/>
              </w:rPr>
            </w:pPr>
          </w:p>
        </w:tc>
        <w:tc>
          <w:tcPr>
            <w:tcW w:w="1221" w:type="pct"/>
          </w:tcPr>
          <w:p w14:paraId="26247B0F" w14:textId="7157FEC8" w:rsidR="005C188D" w:rsidRPr="007C1EF6" w:rsidRDefault="005C188D" w:rsidP="0042173F">
            <w:pPr>
              <w:ind w:right="238"/>
              <w:jc w:val="both"/>
              <w:rPr>
                <w:sz w:val="23"/>
                <w:szCs w:val="23"/>
              </w:rPr>
            </w:pPr>
            <w:r w:rsidRPr="007C1EF6">
              <w:rPr>
                <w:sz w:val="23"/>
                <w:szCs w:val="23"/>
              </w:rPr>
              <w:t>Bộ Xây dựng</w:t>
            </w:r>
          </w:p>
        </w:tc>
        <w:tc>
          <w:tcPr>
            <w:tcW w:w="1601" w:type="pct"/>
          </w:tcPr>
          <w:p w14:paraId="6091AEE3" w14:textId="6C1EE79A" w:rsidR="005C188D" w:rsidRPr="007C1EF6" w:rsidRDefault="005C188D" w:rsidP="0042173F">
            <w:pPr>
              <w:ind w:right="31"/>
              <w:jc w:val="both"/>
              <w:rPr>
                <w:rFonts w:eastAsia="MS Mincho"/>
                <w:bCs/>
                <w:sz w:val="23"/>
                <w:szCs w:val="23"/>
                <w:lang w:val="pt-BR"/>
              </w:rPr>
            </w:pPr>
            <w:r w:rsidRPr="007C1EF6">
              <w:rPr>
                <w:rFonts w:eastAsia="MS Mincho"/>
                <w:bCs/>
                <w:sz w:val="23"/>
                <w:szCs w:val="23"/>
                <w:lang w:val="pt-BR"/>
              </w:rPr>
              <w:t>Hoạt động xây dựng và việc quản lý, sử dụng vốn đầu tư 04 dự án tại Ban Quản lý dự án Đường sắt: Dự án cải tạo, nâng cấp đoạn Hà Nội - Vinh, tuyến đường sắt Hà Nội - TP. Hồ Chí Minh; Dự án cải tạo, nâng cấp đoạn Vinh - Nha Trang, tuyến đường sắt Hà Nội - TP. Hồ Chí Minh; Dự án cải tạo, nâng cấp đoạn Nha Trang - Sài Gòn, tuyến đường sắt Hà Nội - TP. Hồ Chí Minh; Cải tạo các ga trên các tuyến đường sắt phía Bắc</w:t>
            </w:r>
          </w:p>
        </w:tc>
        <w:tc>
          <w:tcPr>
            <w:tcW w:w="1980" w:type="pct"/>
          </w:tcPr>
          <w:p w14:paraId="50EB9308" w14:textId="77777777" w:rsidR="005C188D" w:rsidRPr="007C1EF6" w:rsidRDefault="005C188D" w:rsidP="0042173F">
            <w:pPr>
              <w:tabs>
                <w:tab w:val="left" w:leader="dot" w:pos="8900"/>
              </w:tabs>
              <w:ind w:right="68"/>
              <w:jc w:val="both"/>
              <w:rPr>
                <w:sz w:val="23"/>
                <w:szCs w:val="23"/>
                <w:lang w:val="pt-BR"/>
              </w:rPr>
            </w:pPr>
            <w:r w:rsidRPr="007C1EF6">
              <w:rPr>
                <w:sz w:val="23"/>
                <w:szCs w:val="23"/>
                <w:lang w:val="pt-BR"/>
              </w:rPr>
              <w:t>- Chấn chỉnh, rút kinh nghiệm trong việc: (i) xây dựng kế hoạch đầu tư công năm 2025 gửi Bộ Kế hoạch và Đầu tư, Bộ Tài chính chậm; (ii) thẩm định và phê duyệt chủ trương đầu tư còn tồn tại dẫn đến phải phê duyệt điều chỉnh chủ trương đầu tư; (iii) thẩm định kế hoạch lựa chọn nhà thầu chậm so với quy định.</w:t>
            </w:r>
          </w:p>
          <w:p w14:paraId="4FEF1C65" w14:textId="78747252" w:rsidR="005C188D" w:rsidRPr="007C1EF6" w:rsidRDefault="005C188D" w:rsidP="0042173F">
            <w:pPr>
              <w:tabs>
                <w:tab w:val="left" w:leader="dot" w:pos="8900"/>
              </w:tabs>
              <w:ind w:right="68"/>
              <w:jc w:val="both"/>
              <w:rPr>
                <w:sz w:val="23"/>
                <w:szCs w:val="23"/>
                <w:lang w:val="pt-BR"/>
              </w:rPr>
            </w:pPr>
            <w:r w:rsidRPr="007C1EF6">
              <w:rPr>
                <w:sz w:val="23"/>
                <w:szCs w:val="23"/>
                <w:lang w:val="pt-BR"/>
              </w:rPr>
              <w:t>- Chỉ đạo Ban QLDA Đường sắt phối hợp với các địa phương khẩn trương đẩy nhanh tiến độ giải phóng mặt bằng bảo đảm tiến độ thực hiện các dự án.</w:t>
            </w:r>
          </w:p>
        </w:tc>
      </w:tr>
      <w:tr w:rsidR="005C188D" w:rsidRPr="007C1EF6" w14:paraId="70976960" w14:textId="3B5CC793" w:rsidTr="005C188D">
        <w:trPr>
          <w:trHeight w:val="170"/>
          <w:jc w:val="center"/>
        </w:trPr>
        <w:tc>
          <w:tcPr>
            <w:tcW w:w="199" w:type="pct"/>
          </w:tcPr>
          <w:p w14:paraId="5A29644C" w14:textId="77777777" w:rsidR="005C188D" w:rsidRPr="007C1EF6" w:rsidRDefault="005C188D" w:rsidP="0042173F">
            <w:pPr>
              <w:pStyle w:val="ListParagraph"/>
              <w:widowControl w:val="0"/>
              <w:numPr>
                <w:ilvl w:val="0"/>
                <w:numId w:val="13"/>
              </w:numPr>
              <w:spacing w:after="0" w:line="240" w:lineRule="auto"/>
              <w:ind w:left="0" w:firstLine="82"/>
              <w:jc w:val="center"/>
              <w:rPr>
                <w:rFonts w:ascii="Times New Roman" w:hAnsi="Times New Roman"/>
                <w:sz w:val="23"/>
                <w:szCs w:val="23"/>
              </w:rPr>
            </w:pPr>
          </w:p>
        </w:tc>
        <w:tc>
          <w:tcPr>
            <w:tcW w:w="1221" w:type="pct"/>
          </w:tcPr>
          <w:p w14:paraId="00F98D68" w14:textId="49FE94FE" w:rsidR="005C188D" w:rsidRPr="007C1EF6" w:rsidRDefault="005C188D" w:rsidP="0042173F">
            <w:pPr>
              <w:ind w:right="238"/>
              <w:jc w:val="both"/>
              <w:rPr>
                <w:sz w:val="23"/>
                <w:szCs w:val="23"/>
              </w:rPr>
            </w:pPr>
            <w:r w:rsidRPr="007C1EF6">
              <w:rPr>
                <w:sz w:val="23"/>
                <w:szCs w:val="23"/>
              </w:rPr>
              <w:t>UBND tỉnh Hưng Yên</w:t>
            </w:r>
          </w:p>
        </w:tc>
        <w:tc>
          <w:tcPr>
            <w:tcW w:w="1601" w:type="pct"/>
          </w:tcPr>
          <w:p w14:paraId="00B28170" w14:textId="4C052F10" w:rsidR="005C188D" w:rsidRPr="007C1EF6" w:rsidRDefault="005C188D" w:rsidP="0042173F">
            <w:pPr>
              <w:ind w:right="31"/>
              <w:jc w:val="both"/>
              <w:rPr>
                <w:rFonts w:eastAsia="MS Mincho"/>
                <w:bCs/>
                <w:sz w:val="23"/>
                <w:szCs w:val="23"/>
                <w:lang w:val="pt-BR"/>
              </w:rPr>
            </w:pPr>
            <w:r w:rsidRPr="007C1EF6">
              <w:rPr>
                <w:rFonts w:eastAsia="MS Mincho"/>
                <w:bCs/>
                <w:sz w:val="23"/>
                <w:szCs w:val="23"/>
                <w:lang w:val="pt-BR"/>
              </w:rPr>
              <w:t>Hoạt động xây dựng và quản lý, sử dụng vốn đầu tư Dự án Đầu tư xây dựng tuyến đường bộ từ thành phố Thái Bình đi cầu Nghìn theo hình thức đối tác công tư (Hợp đồng BOT) và Dự án đầu tư xây dựng tuyến đường bộ ven biển tỉnh Thái Bình</w:t>
            </w:r>
          </w:p>
        </w:tc>
        <w:tc>
          <w:tcPr>
            <w:tcW w:w="1980" w:type="pct"/>
          </w:tcPr>
          <w:p w14:paraId="5B1C5112" w14:textId="01AF1484" w:rsidR="005C188D" w:rsidRPr="007C1EF6" w:rsidRDefault="005C188D" w:rsidP="0042173F">
            <w:pPr>
              <w:tabs>
                <w:tab w:val="left" w:leader="dot" w:pos="8900"/>
              </w:tabs>
              <w:ind w:right="68"/>
              <w:jc w:val="both"/>
              <w:rPr>
                <w:sz w:val="23"/>
                <w:szCs w:val="23"/>
                <w:lang w:val="pt-BR"/>
              </w:rPr>
            </w:pPr>
            <w:r w:rsidRPr="007C1EF6">
              <w:rPr>
                <w:sz w:val="23"/>
                <w:szCs w:val="23"/>
                <w:lang w:val="pt-BR"/>
              </w:rPr>
              <w:t>Chỉ đạo các đơn vị có liên quan trong việc thu xếp vốn thanh toán cho Nhà đầu tư đảm bảo hiệu quả sử dụng vốn NSNN.</w:t>
            </w:r>
          </w:p>
        </w:tc>
      </w:tr>
      <w:tr w:rsidR="005C188D" w:rsidRPr="007C1EF6" w14:paraId="096CD37F" w14:textId="35F9CE92" w:rsidTr="005C188D">
        <w:trPr>
          <w:trHeight w:val="170"/>
          <w:jc w:val="center"/>
        </w:trPr>
        <w:tc>
          <w:tcPr>
            <w:tcW w:w="199" w:type="pct"/>
          </w:tcPr>
          <w:p w14:paraId="7BB273C5" w14:textId="77777777" w:rsidR="005C188D" w:rsidRPr="007C1EF6" w:rsidRDefault="005C188D" w:rsidP="0042173F">
            <w:pPr>
              <w:pStyle w:val="ListParagraph"/>
              <w:widowControl w:val="0"/>
              <w:numPr>
                <w:ilvl w:val="0"/>
                <w:numId w:val="13"/>
              </w:numPr>
              <w:spacing w:after="0" w:line="240" w:lineRule="auto"/>
              <w:ind w:left="0" w:firstLine="82"/>
              <w:jc w:val="center"/>
              <w:rPr>
                <w:rFonts w:ascii="Times New Roman" w:hAnsi="Times New Roman"/>
                <w:sz w:val="23"/>
                <w:szCs w:val="23"/>
              </w:rPr>
            </w:pPr>
          </w:p>
        </w:tc>
        <w:tc>
          <w:tcPr>
            <w:tcW w:w="1221" w:type="pct"/>
          </w:tcPr>
          <w:p w14:paraId="08103BFD" w14:textId="478F1A56" w:rsidR="005C188D" w:rsidRPr="007C1EF6" w:rsidRDefault="005C188D" w:rsidP="0042173F">
            <w:pPr>
              <w:ind w:right="238"/>
              <w:jc w:val="both"/>
              <w:rPr>
                <w:sz w:val="23"/>
                <w:szCs w:val="23"/>
              </w:rPr>
            </w:pPr>
            <w:r w:rsidRPr="007C1EF6">
              <w:rPr>
                <w:sz w:val="23"/>
                <w:szCs w:val="23"/>
              </w:rPr>
              <w:t>UBND tỉnh Hưng Yên</w:t>
            </w:r>
          </w:p>
        </w:tc>
        <w:tc>
          <w:tcPr>
            <w:tcW w:w="1601" w:type="pct"/>
          </w:tcPr>
          <w:p w14:paraId="71DA1048" w14:textId="48D9F650" w:rsidR="005C188D" w:rsidRPr="007C1EF6" w:rsidRDefault="005C188D" w:rsidP="0042173F">
            <w:pPr>
              <w:ind w:right="31"/>
              <w:jc w:val="both"/>
              <w:rPr>
                <w:rFonts w:eastAsia="MS Mincho"/>
                <w:bCs/>
                <w:sz w:val="23"/>
                <w:szCs w:val="23"/>
                <w:lang w:val="pt-BR"/>
              </w:rPr>
            </w:pPr>
            <w:r w:rsidRPr="007C1EF6">
              <w:rPr>
                <w:rFonts w:eastAsia="MS Mincho"/>
                <w:bCs/>
                <w:sz w:val="23"/>
                <w:szCs w:val="23"/>
                <w:lang w:val="pt-BR"/>
              </w:rPr>
              <w:t>Hoạt động xây dựng và quản lý, sử dụng vốn đầu tư Dự án Đầu tư xây dựng tuyến đường bộ từ thành phố Thái Bình đi cầu Nghìn theo hình thức đối tác công tư (Hợp đồng BOT) và Dự án đầu tư xây dựng tuyến đường bộ ven biển tỉnh Thái Bình</w:t>
            </w:r>
          </w:p>
        </w:tc>
        <w:tc>
          <w:tcPr>
            <w:tcW w:w="1980" w:type="pct"/>
          </w:tcPr>
          <w:p w14:paraId="7EF9E1D6" w14:textId="77777777" w:rsidR="005C188D" w:rsidRPr="007C1EF6" w:rsidRDefault="005C188D" w:rsidP="0042173F">
            <w:pPr>
              <w:tabs>
                <w:tab w:val="left" w:leader="dot" w:pos="8900"/>
              </w:tabs>
              <w:ind w:right="68"/>
              <w:jc w:val="both"/>
              <w:rPr>
                <w:sz w:val="23"/>
                <w:szCs w:val="23"/>
                <w:lang w:val="pt-BR"/>
              </w:rPr>
            </w:pPr>
            <w:r w:rsidRPr="007C1EF6">
              <w:rPr>
                <w:sz w:val="23"/>
                <w:szCs w:val="23"/>
                <w:lang w:val="pt-BR"/>
              </w:rPr>
              <w:t xml:space="preserve">1. Tiếp tục thực hiện kiến nghị của Kiểm toán nhà nước tại Báo cáo kiểm toán phát hành theo Công văn số 800/KTNN-TH ngày 26/12/2022 (Đợt 3) đối với nội dung “Hoàn trả ngân sách trung ương 86.685 triệu đồng bố trí vượt nguồn vốn NSTW trong quyết định phê duyệt Chủ trương đầu tư số 348/QĐ-TTg ngày 28/3/2018 của Thủ tướng Chính phủ”. </w:t>
            </w:r>
          </w:p>
          <w:p w14:paraId="5359BD43" w14:textId="77777777" w:rsidR="005C188D" w:rsidRPr="007C1EF6" w:rsidRDefault="005C188D" w:rsidP="0042173F">
            <w:pPr>
              <w:tabs>
                <w:tab w:val="left" w:leader="dot" w:pos="8900"/>
              </w:tabs>
              <w:ind w:right="68"/>
              <w:jc w:val="both"/>
              <w:rPr>
                <w:sz w:val="23"/>
                <w:szCs w:val="23"/>
                <w:lang w:val="pt-BR"/>
              </w:rPr>
            </w:pPr>
            <w:r w:rsidRPr="007C1EF6">
              <w:rPr>
                <w:sz w:val="23"/>
                <w:szCs w:val="23"/>
                <w:lang w:val="pt-BR"/>
              </w:rPr>
              <w:t>2. Bố trí đủ vốn theo cơ cấu nguồn vốn dự án được duyệt và giá trị khối lượng hoàn thành của dự án.</w:t>
            </w:r>
          </w:p>
          <w:p w14:paraId="55AF7CE9" w14:textId="34BE8A2F" w:rsidR="005C188D" w:rsidRPr="007C1EF6" w:rsidRDefault="005C188D" w:rsidP="0042173F">
            <w:pPr>
              <w:tabs>
                <w:tab w:val="left" w:leader="dot" w:pos="8900"/>
              </w:tabs>
              <w:ind w:right="68"/>
              <w:jc w:val="both"/>
              <w:rPr>
                <w:sz w:val="23"/>
                <w:szCs w:val="23"/>
                <w:lang w:val="pt-BR"/>
              </w:rPr>
            </w:pPr>
            <w:r w:rsidRPr="007C1EF6">
              <w:rPr>
                <w:sz w:val="23"/>
                <w:szCs w:val="23"/>
                <w:lang w:val="pt-BR"/>
              </w:rPr>
              <w:lastRenderedPageBreak/>
              <w:t>3. Xem xét cập nhật phương án tài chính của dự án khi thực hiện quyết toán dự án hoàn thành.</w:t>
            </w:r>
          </w:p>
        </w:tc>
      </w:tr>
      <w:tr w:rsidR="005C188D" w:rsidRPr="007C1EF6" w14:paraId="15759801" w14:textId="1C2E359B" w:rsidTr="005C188D">
        <w:trPr>
          <w:trHeight w:val="170"/>
          <w:jc w:val="center"/>
        </w:trPr>
        <w:tc>
          <w:tcPr>
            <w:tcW w:w="199" w:type="pct"/>
          </w:tcPr>
          <w:p w14:paraId="7A8C5D1C" w14:textId="77777777" w:rsidR="005C188D" w:rsidRPr="007C1EF6" w:rsidRDefault="005C188D" w:rsidP="0042173F">
            <w:pPr>
              <w:pStyle w:val="ListParagraph"/>
              <w:widowControl w:val="0"/>
              <w:numPr>
                <w:ilvl w:val="0"/>
                <w:numId w:val="13"/>
              </w:numPr>
              <w:spacing w:after="0" w:line="240" w:lineRule="auto"/>
              <w:ind w:left="0" w:firstLine="82"/>
              <w:jc w:val="center"/>
              <w:rPr>
                <w:rFonts w:ascii="Times New Roman" w:hAnsi="Times New Roman"/>
                <w:sz w:val="23"/>
                <w:szCs w:val="23"/>
              </w:rPr>
            </w:pPr>
          </w:p>
        </w:tc>
        <w:tc>
          <w:tcPr>
            <w:tcW w:w="1221" w:type="pct"/>
          </w:tcPr>
          <w:p w14:paraId="75DCEC03" w14:textId="6DFDD05D" w:rsidR="005C188D" w:rsidRPr="007C1EF6" w:rsidRDefault="005C188D" w:rsidP="0042173F">
            <w:pPr>
              <w:ind w:right="238"/>
              <w:jc w:val="both"/>
              <w:rPr>
                <w:sz w:val="23"/>
                <w:szCs w:val="23"/>
              </w:rPr>
            </w:pPr>
            <w:r w:rsidRPr="007C1EF6">
              <w:rPr>
                <w:sz w:val="23"/>
                <w:szCs w:val="23"/>
              </w:rPr>
              <w:t>Ủy ban nhân dân tỉnh Thái Nguyên</w:t>
            </w:r>
          </w:p>
        </w:tc>
        <w:tc>
          <w:tcPr>
            <w:tcW w:w="1601" w:type="pct"/>
          </w:tcPr>
          <w:p w14:paraId="37571E36" w14:textId="4AB95397" w:rsidR="005C188D" w:rsidRPr="007C1EF6" w:rsidRDefault="005C188D" w:rsidP="0042173F">
            <w:pPr>
              <w:ind w:right="31"/>
              <w:jc w:val="both"/>
              <w:rPr>
                <w:rFonts w:eastAsia="MS Mincho"/>
                <w:bCs/>
                <w:sz w:val="23"/>
                <w:szCs w:val="23"/>
                <w:highlight w:val="yellow"/>
                <w:lang w:val="pt-BR"/>
              </w:rPr>
            </w:pPr>
            <w:r w:rsidRPr="007C1EF6">
              <w:rPr>
                <w:rFonts w:eastAsia="MS Mincho"/>
                <w:bCs/>
                <w:sz w:val="23"/>
                <w:szCs w:val="23"/>
                <w:lang w:val="pt-BR"/>
              </w:rPr>
              <w:t>Hoạt động xây dựng và việc quản lý, sử dụng vốn đầu tư Dự án Tuyến đường liên kết, kết nối các tỉnh Thái Nguyên, Bắc Giang và Vĩnh Phúc</w:t>
            </w:r>
          </w:p>
        </w:tc>
        <w:tc>
          <w:tcPr>
            <w:tcW w:w="1980" w:type="pct"/>
          </w:tcPr>
          <w:p w14:paraId="5E516C7E" w14:textId="77777777" w:rsidR="005C188D" w:rsidRPr="007C1EF6" w:rsidRDefault="005C188D" w:rsidP="0042173F">
            <w:pPr>
              <w:tabs>
                <w:tab w:val="left" w:leader="dot" w:pos="8900"/>
              </w:tabs>
              <w:ind w:right="68"/>
              <w:jc w:val="both"/>
              <w:rPr>
                <w:sz w:val="23"/>
                <w:szCs w:val="23"/>
                <w:lang w:val="pt-BR"/>
              </w:rPr>
            </w:pPr>
            <w:r w:rsidRPr="007C1EF6">
              <w:rPr>
                <w:sz w:val="23"/>
                <w:szCs w:val="23"/>
                <w:lang w:val="pt-BR"/>
              </w:rPr>
              <w:t>- Chủ trì, chỉ đạo các cơ quan đơn vị có liên quan có phương án xử lý, giải quyết dứt điểm vướng mắc về GPMB đảm bảo theo quy định để đáp ứng tiến độ thi công công trình.</w:t>
            </w:r>
          </w:p>
          <w:p w14:paraId="74BBFC54" w14:textId="77777777" w:rsidR="005C188D" w:rsidRPr="007C1EF6" w:rsidRDefault="005C188D" w:rsidP="0042173F">
            <w:pPr>
              <w:tabs>
                <w:tab w:val="left" w:leader="dot" w:pos="8900"/>
              </w:tabs>
              <w:ind w:right="68"/>
              <w:jc w:val="both"/>
              <w:rPr>
                <w:sz w:val="23"/>
                <w:szCs w:val="23"/>
                <w:lang w:val="pt-BR"/>
              </w:rPr>
            </w:pPr>
            <w:r w:rsidRPr="007C1EF6">
              <w:rPr>
                <w:sz w:val="23"/>
                <w:szCs w:val="23"/>
                <w:lang w:val="pt-BR"/>
              </w:rPr>
              <w:t>- Chấn chỉnh, rút kinh nghiệm trong việc giao vốn chưa phù hợp với cơ cấu nguồn vốn của dự án.</w:t>
            </w:r>
          </w:p>
          <w:p w14:paraId="242EBF7B" w14:textId="6ACC2B8F" w:rsidR="005C188D" w:rsidRPr="007C1EF6" w:rsidRDefault="005C188D" w:rsidP="0042173F">
            <w:pPr>
              <w:tabs>
                <w:tab w:val="left" w:leader="dot" w:pos="8900"/>
              </w:tabs>
              <w:ind w:right="68"/>
              <w:jc w:val="both"/>
              <w:rPr>
                <w:sz w:val="23"/>
                <w:szCs w:val="23"/>
                <w:lang w:val="pt-BR"/>
              </w:rPr>
            </w:pPr>
            <w:r w:rsidRPr="007C1EF6">
              <w:rPr>
                <w:sz w:val="23"/>
                <w:szCs w:val="23"/>
                <w:lang w:val="pt-BR"/>
              </w:rPr>
              <w:t>- Chỉ đạo Ban Quản lý dự án đầu tư xây dựng công trình giao thông và nông nghiệp tỉnh Thái Nguyên và các đơn vị có liên quan: kiểm tra, rà soát, chấn chỉnh, rút kinh nghiệm đối với các tồn tại đã nêu trong báo cáo kiểm toán (công tác quản lý tiến độ, quản lý và thực hiện hợp đồng, công tác nghiệm thu thanh toán, quản lý nguồn vốn…). Trường hợp qua kiểm tra, rà soát cho thấy các tồn tại này gây lãng phí, đề nghị làm rõ nguyên nhân và trách nhiệm để xử lý theo quy định của pháp luật và có biện pháp khắc phục kịp thời.</w:t>
            </w:r>
          </w:p>
        </w:tc>
      </w:tr>
      <w:tr w:rsidR="005C188D" w:rsidRPr="007C1EF6" w14:paraId="3AA676DC" w14:textId="17248BCB" w:rsidTr="005C188D">
        <w:trPr>
          <w:trHeight w:val="170"/>
          <w:jc w:val="center"/>
        </w:trPr>
        <w:tc>
          <w:tcPr>
            <w:tcW w:w="199" w:type="pct"/>
          </w:tcPr>
          <w:p w14:paraId="5B551223" w14:textId="77777777" w:rsidR="005C188D" w:rsidRPr="007C1EF6" w:rsidRDefault="005C188D" w:rsidP="0042173F">
            <w:pPr>
              <w:pStyle w:val="ListParagraph"/>
              <w:widowControl w:val="0"/>
              <w:numPr>
                <w:ilvl w:val="0"/>
                <w:numId w:val="13"/>
              </w:numPr>
              <w:spacing w:after="0" w:line="240" w:lineRule="auto"/>
              <w:ind w:left="0" w:firstLine="82"/>
              <w:jc w:val="center"/>
              <w:rPr>
                <w:rFonts w:ascii="Times New Roman" w:hAnsi="Times New Roman"/>
                <w:sz w:val="23"/>
                <w:szCs w:val="23"/>
              </w:rPr>
            </w:pPr>
          </w:p>
        </w:tc>
        <w:tc>
          <w:tcPr>
            <w:tcW w:w="1221" w:type="pct"/>
          </w:tcPr>
          <w:p w14:paraId="69A5B642" w14:textId="397D5663" w:rsidR="005C188D" w:rsidRPr="007C1EF6" w:rsidRDefault="005C188D" w:rsidP="0042173F">
            <w:pPr>
              <w:ind w:right="238"/>
              <w:jc w:val="both"/>
              <w:rPr>
                <w:sz w:val="23"/>
                <w:szCs w:val="23"/>
              </w:rPr>
            </w:pPr>
            <w:r w:rsidRPr="007C1EF6">
              <w:rPr>
                <w:sz w:val="23"/>
                <w:szCs w:val="23"/>
              </w:rPr>
              <w:t>Ủy ban nhân dân thành phố Đà Nẵng</w:t>
            </w:r>
          </w:p>
        </w:tc>
        <w:tc>
          <w:tcPr>
            <w:tcW w:w="1601" w:type="pct"/>
          </w:tcPr>
          <w:p w14:paraId="154DF13F" w14:textId="25E47BDB" w:rsidR="005C188D" w:rsidRPr="007C1EF6" w:rsidRDefault="005C188D" w:rsidP="0042173F">
            <w:pPr>
              <w:ind w:right="31"/>
              <w:jc w:val="both"/>
              <w:rPr>
                <w:rFonts w:eastAsia="MS Mincho"/>
                <w:bCs/>
                <w:sz w:val="23"/>
                <w:szCs w:val="23"/>
                <w:lang w:val="pt-BR"/>
              </w:rPr>
            </w:pPr>
            <w:r w:rsidRPr="007C1EF6">
              <w:rPr>
                <w:rFonts w:eastAsia="MS Mincho"/>
                <w:bCs/>
                <w:sz w:val="23"/>
                <w:szCs w:val="23"/>
                <w:lang w:val="pt-BR"/>
              </w:rPr>
              <w:t>Hoạt động xây dựng và việc quản lý, sử dụng vốn đầu tư Dự án hoàn thiện đường ven biển 129 (Võ Chí Công)</w:t>
            </w:r>
          </w:p>
        </w:tc>
        <w:tc>
          <w:tcPr>
            <w:tcW w:w="1980" w:type="pct"/>
          </w:tcPr>
          <w:p w14:paraId="65AAAE8D" w14:textId="77777777" w:rsidR="005C188D" w:rsidRPr="007C1EF6" w:rsidRDefault="005C188D" w:rsidP="0042173F">
            <w:pPr>
              <w:tabs>
                <w:tab w:val="left" w:leader="dot" w:pos="8900"/>
              </w:tabs>
              <w:ind w:right="68"/>
              <w:jc w:val="both"/>
              <w:rPr>
                <w:sz w:val="23"/>
                <w:szCs w:val="23"/>
                <w:lang w:val="pt-BR"/>
              </w:rPr>
            </w:pPr>
            <w:r w:rsidRPr="007C1EF6">
              <w:rPr>
                <w:sz w:val="23"/>
                <w:szCs w:val="23"/>
                <w:lang w:val="pt-BR"/>
              </w:rPr>
              <w:t>- Trên cơ sở xem xét đề xuất của Ban Quản lý dự án Đầu tư xây dựng các công trình giao thông tỉnh Quảng Nam, báo cáo Hội đồng nhân dân thành phố Đà Nẵng bố trí vốn NSĐP để đảm bảo tiến độ thực hiện dự án, phù hợp với cơ cấu vốn trong Tổng mức đầu tư, trong đó lưu ý giá trị 58,93 tỷ đồng vốn NSTW đã sử dụng cho bồi thường giải phóng mặt bằng.</w:t>
            </w:r>
          </w:p>
          <w:p w14:paraId="5FF737E1" w14:textId="77777777" w:rsidR="005C188D" w:rsidRPr="007C1EF6" w:rsidRDefault="005C188D" w:rsidP="0042173F">
            <w:pPr>
              <w:tabs>
                <w:tab w:val="left" w:leader="dot" w:pos="8900"/>
              </w:tabs>
              <w:ind w:right="68"/>
              <w:jc w:val="both"/>
              <w:rPr>
                <w:sz w:val="23"/>
                <w:szCs w:val="23"/>
                <w:lang w:val="pt-BR"/>
              </w:rPr>
            </w:pPr>
            <w:r w:rsidRPr="007C1EF6">
              <w:rPr>
                <w:sz w:val="23"/>
                <w:szCs w:val="23"/>
                <w:lang w:val="pt-BR"/>
              </w:rPr>
              <w:t>- Tổ chức rà soát để thực hiện Nghị quyết số 30/NQ-HĐND ngày 05/6/ 2025 của Hội đồng nhân dân tỉnh Quảng Nam về việc điều chỉnh chủ trương đầu tư, cho phép kéo dài thời gian thực hiện Dự án đến năm 2027 theo quy định; rà soát xác định nguồn vốn, tổng số vốn của Cầu Duy Phước theo Nghị quyết số 30/NQ-HĐND báo cáo HĐND thành phố Đà Nẵng làm căn cứ triển khai dự án theo quy định.</w:t>
            </w:r>
          </w:p>
          <w:p w14:paraId="6A2CCD9C" w14:textId="2A2798B8" w:rsidR="005C188D" w:rsidRPr="007C1EF6" w:rsidRDefault="005C188D" w:rsidP="0042173F">
            <w:pPr>
              <w:tabs>
                <w:tab w:val="left" w:leader="dot" w:pos="8900"/>
              </w:tabs>
              <w:ind w:right="68"/>
              <w:jc w:val="both"/>
              <w:rPr>
                <w:sz w:val="23"/>
                <w:szCs w:val="23"/>
                <w:lang w:val="pt-BR"/>
              </w:rPr>
            </w:pPr>
            <w:r w:rsidRPr="007C1EF6">
              <w:rPr>
                <w:sz w:val="23"/>
                <w:szCs w:val="23"/>
                <w:lang w:val="pt-BR"/>
              </w:rPr>
              <w:t>- Chỉ đạo các đơn vị liên quan rà soát, xác định nguyên nhân chậm giải phóng mặt bằng, nguyên nhân giải ngân vốn chậm, nếu có dấu hiệu lãng phí vốn thì xử lý theo đúng quy định của pháp luật; có biện pháp giải quyết dứt điểm vướng mắc, tồn tại trong giải phóng mặt bằng và những vướng mắc khác (nếu có) liên quan đến dự án, đẩy nhanh tiến độ thực hiện, đảm bảo tính kinh tế, hiệu lực, hiệu quả của Dự án.</w:t>
            </w:r>
          </w:p>
        </w:tc>
      </w:tr>
      <w:tr w:rsidR="005C188D" w:rsidRPr="007C1EF6" w14:paraId="43DD149B" w14:textId="3F5E57B4" w:rsidTr="005C188D">
        <w:trPr>
          <w:trHeight w:val="170"/>
          <w:jc w:val="center"/>
        </w:trPr>
        <w:tc>
          <w:tcPr>
            <w:tcW w:w="199" w:type="pct"/>
          </w:tcPr>
          <w:p w14:paraId="1FD404CD" w14:textId="77777777" w:rsidR="005C188D" w:rsidRPr="007C1EF6" w:rsidRDefault="005C188D" w:rsidP="0042173F">
            <w:pPr>
              <w:pStyle w:val="ListParagraph"/>
              <w:widowControl w:val="0"/>
              <w:numPr>
                <w:ilvl w:val="0"/>
                <w:numId w:val="13"/>
              </w:numPr>
              <w:spacing w:after="0" w:line="240" w:lineRule="auto"/>
              <w:ind w:left="0" w:firstLine="82"/>
              <w:jc w:val="center"/>
              <w:rPr>
                <w:rFonts w:ascii="Times New Roman" w:hAnsi="Times New Roman"/>
                <w:sz w:val="23"/>
                <w:szCs w:val="23"/>
              </w:rPr>
            </w:pPr>
          </w:p>
        </w:tc>
        <w:tc>
          <w:tcPr>
            <w:tcW w:w="1221" w:type="pct"/>
          </w:tcPr>
          <w:p w14:paraId="23C8F694" w14:textId="30A6335E" w:rsidR="005C188D" w:rsidRPr="007C1EF6" w:rsidRDefault="005C188D" w:rsidP="0042173F">
            <w:pPr>
              <w:ind w:right="238"/>
              <w:jc w:val="both"/>
              <w:rPr>
                <w:sz w:val="23"/>
                <w:szCs w:val="23"/>
              </w:rPr>
            </w:pPr>
            <w:r w:rsidRPr="007C1EF6">
              <w:rPr>
                <w:sz w:val="23"/>
                <w:szCs w:val="23"/>
              </w:rPr>
              <w:t>UBND tỉnh Vĩnh Long</w:t>
            </w:r>
          </w:p>
        </w:tc>
        <w:tc>
          <w:tcPr>
            <w:tcW w:w="1601" w:type="pct"/>
          </w:tcPr>
          <w:p w14:paraId="6FA857E4" w14:textId="72F03343" w:rsidR="005C188D" w:rsidRPr="007C1EF6" w:rsidRDefault="005C188D" w:rsidP="0042173F">
            <w:pPr>
              <w:ind w:right="31"/>
              <w:jc w:val="both"/>
              <w:rPr>
                <w:rFonts w:eastAsia="MS Mincho"/>
                <w:bCs/>
                <w:sz w:val="23"/>
                <w:szCs w:val="23"/>
                <w:lang w:val="pt-BR"/>
              </w:rPr>
            </w:pPr>
            <w:r w:rsidRPr="007C1EF6">
              <w:rPr>
                <w:rFonts w:eastAsia="MS Mincho"/>
                <w:bCs/>
                <w:sz w:val="23"/>
                <w:szCs w:val="23"/>
                <w:lang w:val="pt-BR"/>
              </w:rPr>
              <w:t>Hoạt động xây dựng và việc quản lý, sử dụng vốn đầu tư 04 dự án tại Ban quản lý dự án nông nghiệp tỉnh Vĩnh Long: Dự án Hệ thống thủy lợi Cồn Lục Sỹ, huyện Trà Ôn, tỉnh Vĩnh Long (giai đoạn 2); Dự án Kè chống sạt lở bờ sông Tiền (đoạn từ sông Cái Đôi đến bến phà Mỹ Thuận cũ), phường Tân Hòa, thành phố Vĩnh Long, tỉnh Vĩnh Long; Dự án nâng cấp hệ thống thủy lợi Mỹ Lộc - Mỹ Thạnh Trung - Long Phú - Song Phú, huyện Tam Bình; Dự án hệ thống thủy lợi Thanh Đức - Long Mỹ, huyện Long Hồ và huyện Mang Thít</w:t>
            </w:r>
          </w:p>
        </w:tc>
        <w:tc>
          <w:tcPr>
            <w:tcW w:w="1980" w:type="pct"/>
          </w:tcPr>
          <w:p w14:paraId="2840B4A6" w14:textId="6275E94D" w:rsidR="005C188D" w:rsidRPr="007C1EF6" w:rsidRDefault="005C188D" w:rsidP="0042173F">
            <w:pPr>
              <w:tabs>
                <w:tab w:val="left" w:leader="dot" w:pos="8900"/>
              </w:tabs>
              <w:ind w:right="68"/>
              <w:jc w:val="both"/>
              <w:rPr>
                <w:sz w:val="23"/>
                <w:szCs w:val="23"/>
                <w:lang w:val="pt-BR"/>
              </w:rPr>
            </w:pPr>
            <w:r w:rsidRPr="007C1EF6">
              <w:rPr>
                <w:sz w:val="23"/>
                <w:szCs w:val="23"/>
                <w:lang w:val="pt-BR"/>
              </w:rPr>
              <w:t>Chỉ đạo Ban quản lý dự án nông nghiệp tỉnh Vĩnh Long và các đơn vị có liên quan đẩy nhanh tiến độ công tác giải phóng mặt bằng, đáp ứng tiến độ thi công của các dự án theo quyết định đã phê duyệt, cụ thể: Hội đồng bồi thường, hỗ trợ và tái định cư của UBND xã Lục Sĩ Thành (Dự án Hệ thống thủy lợi Cồn Lục Sỹ, huyện Trà Ôn, tỉnh Vĩnh Long (giai đoạn 2)); Hội đồng bồi thường, hỗ trợ và tái định cư của UBND các xã Cái Ngang, xã Hòa Hiệp, xã Song Phú, xã Tam Bình (Dự án nâng cấp hệ thống thủy lợi Mỹ Lộc - Mỹ Thạnh Trung - Long Phú - Song Phú, huyện Tam Bình); Hội đồng bồi thường, hỗ trợ và tái định cư của UBND xã Nhơn Phú, UBND phường Thanh Đức (Dự án hệ thống thủy lợi Thanh Đức - Long Mỹ, huyện Long Hồ và huyện Mang Thít). Đồng thời chỉ đạo việc kiểm tra, rà soát thực hiện các biện pháp cần thiết để ngăn ngừa thất thoát, lãng phí (nếu có).</w:t>
            </w:r>
          </w:p>
        </w:tc>
      </w:tr>
      <w:tr w:rsidR="005C188D" w:rsidRPr="007C1EF6" w14:paraId="45413F3E" w14:textId="2F863DA1" w:rsidTr="005C188D">
        <w:trPr>
          <w:trHeight w:val="170"/>
          <w:jc w:val="center"/>
        </w:trPr>
        <w:tc>
          <w:tcPr>
            <w:tcW w:w="199" w:type="pct"/>
          </w:tcPr>
          <w:p w14:paraId="136C55D4" w14:textId="77777777" w:rsidR="005C188D" w:rsidRPr="007C1EF6" w:rsidRDefault="005C188D" w:rsidP="0042173F">
            <w:pPr>
              <w:pStyle w:val="ListParagraph"/>
              <w:widowControl w:val="0"/>
              <w:numPr>
                <w:ilvl w:val="0"/>
                <w:numId w:val="13"/>
              </w:numPr>
              <w:spacing w:after="0" w:line="240" w:lineRule="auto"/>
              <w:ind w:left="0" w:firstLine="82"/>
              <w:jc w:val="center"/>
              <w:rPr>
                <w:rFonts w:ascii="Times New Roman" w:hAnsi="Times New Roman"/>
                <w:sz w:val="23"/>
                <w:szCs w:val="23"/>
              </w:rPr>
            </w:pPr>
          </w:p>
        </w:tc>
        <w:tc>
          <w:tcPr>
            <w:tcW w:w="1221" w:type="pct"/>
          </w:tcPr>
          <w:p w14:paraId="3E255F7C" w14:textId="47F07B97" w:rsidR="005C188D" w:rsidRPr="007C1EF6" w:rsidRDefault="005C188D" w:rsidP="0042173F">
            <w:pPr>
              <w:ind w:right="238"/>
              <w:jc w:val="both"/>
              <w:rPr>
                <w:sz w:val="23"/>
                <w:szCs w:val="23"/>
              </w:rPr>
            </w:pPr>
            <w:r w:rsidRPr="007C1EF6">
              <w:rPr>
                <w:sz w:val="23"/>
                <w:szCs w:val="23"/>
              </w:rPr>
              <w:t>Bộ Xây Dựng</w:t>
            </w:r>
          </w:p>
        </w:tc>
        <w:tc>
          <w:tcPr>
            <w:tcW w:w="1601" w:type="pct"/>
          </w:tcPr>
          <w:p w14:paraId="3ACCFE1A" w14:textId="7F3B533D" w:rsidR="005C188D" w:rsidRPr="007C1EF6" w:rsidRDefault="005C188D" w:rsidP="0042173F">
            <w:pPr>
              <w:ind w:right="31"/>
              <w:jc w:val="both"/>
              <w:rPr>
                <w:rFonts w:eastAsia="MS Mincho"/>
                <w:bCs/>
                <w:sz w:val="23"/>
                <w:szCs w:val="23"/>
                <w:lang w:val="pt-BR"/>
              </w:rPr>
            </w:pPr>
            <w:r w:rsidRPr="007C1EF6">
              <w:rPr>
                <w:rFonts w:eastAsia="MS Mincho"/>
                <w:bCs/>
                <w:sz w:val="23"/>
                <w:szCs w:val="23"/>
                <w:lang w:val="pt-BR"/>
              </w:rPr>
              <w:t>Hoạt động xây dựng và việc quản lý, sử dụng vốn đầu tư Dự án thành phần 1A của dự án đầu tư xây dựng đoạn Tân Vạn - Nhơn Trạch giai đoạn 1 thuộc đường vành đai 3 thành phố Hồ Chí Minh (sau đây viết tắt là Dự án Tân Vạn - Nhơn Trạch); Dự án đầu tư xây dựng công trình cầu Rạch Miễu 2 nối tỉnh Tiền Giang và tỉnh Bến Tre</w:t>
            </w:r>
          </w:p>
        </w:tc>
        <w:tc>
          <w:tcPr>
            <w:tcW w:w="1980" w:type="pct"/>
          </w:tcPr>
          <w:p w14:paraId="0910C8F5" w14:textId="77777777" w:rsidR="005C188D" w:rsidRPr="007C1EF6" w:rsidRDefault="005C188D" w:rsidP="0042173F">
            <w:pPr>
              <w:tabs>
                <w:tab w:val="left" w:leader="dot" w:pos="8900"/>
              </w:tabs>
              <w:ind w:right="68"/>
              <w:jc w:val="both"/>
              <w:rPr>
                <w:sz w:val="23"/>
                <w:szCs w:val="23"/>
                <w:lang w:val="pt-BR"/>
              </w:rPr>
            </w:pPr>
            <w:r w:rsidRPr="007C1EF6">
              <w:rPr>
                <w:sz w:val="23"/>
                <w:szCs w:val="23"/>
                <w:lang w:val="pt-BR"/>
              </w:rPr>
              <w:t>5.1. Kiến nghị công tác quản lý dự án đầu tư xây dựng công trình:</w:t>
            </w:r>
          </w:p>
          <w:p w14:paraId="63FA157A" w14:textId="77777777" w:rsidR="005C188D" w:rsidRPr="007C1EF6" w:rsidRDefault="005C188D" w:rsidP="0042173F">
            <w:pPr>
              <w:tabs>
                <w:tab w:val="left" w:leader="dot" w:pos="8900"/>
              </w:tabs>
              <w:ind w:right="68"/>
              <w:jc w:val="both"/>
              <w:rPr>
                <w:sz w:val="23"/>
                <w:szCs w:val="23"/>
                <w:lang w:val="pt-BR"/>
              </w:rPr>
            </w:pPr>
            <w:r w:rsidRPr="007C1EF6">
              <w:rPr>
                <w:sz w:val="23"/>
                <w:szCs w:val="23"/>
                <w:lang w:val="pt-BR"/>
              </w:rPr>
              <w:t>(i) Chỉ đạo Ban quản lý dự án Mỹ Thuận và các đơn vị liên quan nghiêm túc thực hiện các kết luận, kiến nghị của Kiểm toán nhà nước.</w:t>
            </w:r>
          </w:p>
          <w:p w14:paraId="0C16C530" w14:textId="77777777" w:rsidR="005C188D" w:rsidRPr="007C1EF6" w:rsidRDefault="005C188D" w:rsidP="0042173F">
            <w:pPr>
              <w:tabs>
                <w:tab w:val="left" w:leader="dot" w:pos="8900"/>
              </w:tabs>
              <w:ind w:right="68"/>
              <w:jc w:val="both"/>
              <w:rPr>
                <w:sz w:val="23"/>
                <w:szCs w:val="23"/>
                <w:lang w:val="pt-BR"/>
              </w:rPr>
            </w:pPr>
            <w:r w:rsidRPr="007C1EF6">
              <w:rPr>
                <w:sz w:val="23"/>
                <w:szCs w:val="23"/>
                <w:lang w:val="pt-BR"/>
              </w:rPr>
              <w:t>(ii) Chỉ đạo Chủ đầu tư và các đơn vị có liên quan kiểm tra rà soát việc: Có sự sai khác giữa bản vẽ thiết kế thép cọc khoan nhồi trụ P35 (24ø25) và bảng tính toán sức chịu tải của cọc khoan nhồi (24ø32) (Dự án cầu Rạch Miễu 2). Quá tình kiểm tra rà soát nếu phát hiện có sai sót thì xử lý đúng quy định của pháp luật.</w:t>
            </w:r>
          </w:p>
          <w:p w14:paraId="60976A13" w14:textId="77777777" w:rsidR="005C188D" w:rsidRPr="007C1EF6" w:rsidRDefault="005C188D" w:rsidP="0042173F">
            <w:pPr>
              <w:tabs>
                <w:tab w:val="left" w:leader="dot" w:pos="8900"/>
              </w:tabs>
              <w:ind w:right="68"/>
              <w:jc w:val="both"/>
              <w:rPr>
                <w:sz w:val="23"/>
                <w:szCs w:val="23"/>
                <w:lang w:val="pt-BR"/>
              </w:rPr>
            </w:pPr>
            <w:r w:rsidRPr="007C1EF6">
              <w:rPr>
                <w:sz w:val="23"/>
                <w:szCs w:val="23"/>
                <w:lang w:val="pt-BR"/>
              </w:rPr>
              <w:t>5.2. Kiến nghị chấn chỉnh rút kinh nghiệm trong việc quản lý và thực hiện dự án đối với các tồn tại được chỉ ra tại Báo cáo kiểm toán</w:t>
            </w:r>
          </w:p>
          <w:p w14:paraId="653CEE0E" w14:textId="2BCD381D" w:rsidR="005C188D" w:rsidRPr="007C1EF6" w:rsidRDefault="005C188D" w:rsidP="0042173F">
            <w:pPr>
              <w:tabs>
                <w:tab w:val="left" w:leader="dot" w:pos="8900"/>
              </w:tabs>
              <w:ind w:right="68"/>
              <w:jc w:val="both"/>
              <w:rPr>
                <w:sz w:val="23"/>
                <w:szCs w:val="23"/>
                <w:lang w:val="pt-BR"/>
              </w:rPr>
            </w:pPr>
            <w:r w:rsidRPr="007C1EF6">
              <w:rPr>
                <w:sz w:val="23"/>
                <w:szCs w:val="23"/>
                <w:lang w:val="pt-BR"/>
              </w:rPr>
              <w:t xml:space="preserve">Chỉ đạo các đơn vị có liên quan chấn chỉnh, rút kinh nghiệm trong việc sau: (i) Công tác trình, thẩm định đối với phê duyệt chủ trương đầu tư, điều chỉnh chủ trương đầu tư còn chậm; (ii) Công tác lập, thẩm định, phê duyệt dự án, phê duyệt điều chỉnh dự án, phê duyệt TMĐT, điều chỉnh TMĐT còn chậm; (iii) Công tác thẩm định thiết kế kỹ thuật, </w:t>
            </w:r>
            <w:r w:rsidRPr="007C1EF6">
              <w:rPr>
                <w:sz w:val="23"/>
                <w:szCs w:val="23"/>
                <w:lang w:val="pt-BR"/>
              </w:rPr>
              <w:lastRenderedPageBreak/>
              <w:t>dự toán; (iv) Công tác giao kế hoạch vốn khi Dự án chưa được phê duyệt điều chỉnh chủ trương đầu tư.</w:t>
            </w:r>
          </w:p>
        </w:tc>
      </w:tr>
      <w:tr w:rsidR="005C188D" w:rsidRPr="007C1EF6" w14:paraId="41C1D263" w14:textId="5F478AE6" w:rsidTr="005C188D">
        <w:trPr>
          <w:trHeight w:val="170"/>
          <w:jc w:val="center"/>
        </w:trPr>
        <w:tc>
          <w:tcPr>
            <w:tcW w:w="199" w:type="pct"/>
          </w:tcPr>
          <w:p w14:paraId="04C0364E" w14:textId="77777777" w:rsidR="005C188D" w:rsidRPr="007C1EF6" w:rsidRDefault="005C188D" w:rsidP="0042173F">
            <w:pPr>
              <w:pStyle w:val="ListParagraph"/>
              <w:widowControl w:val="0"/>
              <w:numPr>
                <w:ilvl w:val="0"/>
                <w:numId w:val="13"/>
              </w:numPr>
              <w:spacing w:after="0" w:line="240" w:lineRule="auto"/>
              <w:ind w:left="0" w:firstLine="82"/>
              <w:jc w:val="center"/>
              <w:rPr>
                <w:rFonts w:ascii="Times New Roman" w:hAnsi="Times New Roman"/>
                <w:sz w:val="23"/>
                <w:szCs w:val="23"/>
              </w:rPr>
            </w:pPr>
          </w:p>
        </w:tc>
        <w:tc>
          <w:tcPr>
            <w:tcW w:w="1221" w:type="pct"/>
          </w:tcPr>
          <w:p w14:paraId="5CEFFEAA" w14:textId="2C05D923" w:rsidR="005C188D" w:rsidRPr="007C1EF6" w:rsidRDefault="005C188D" w:rsidP="0042173F">
            <w:pPr>
              <w:ind w:right="238"/>
              <w:jc w:val="both"/>
              <w:rPr>
                <w:sz w:val="23"/>
                <w:szCs w:val="23"/>
              </w:rPr>
            </w:pPr>
            <w:r w:rsidRPr="007C1EF6">
              <w:rPr>
                <w:sz w:val="23"/>
                <w:szCs w:val="23"/>
              </w:rPr>
              <w:t>Bộ Tài chính</w:t>
            </w:r>
          </w:p>
        </w:tc>
        <w:tc>
          <w:tcPr>
            <w:tcW w:w="1601" w:type="pct"/>
          </w:tcPr>
          <w:p w14:paraId="7E099FAA" w14:textId="5B53155B" w:rsidR="005C188D" w:rsidRPr="007C1EF6" w:rsidRDefault="005C188D" w:rsidP="0042173F">
            <w:pPr>
              <w:ind w:right="31"/>
              <w:jc w:val="both"/>
              <w:rPr>
                <w:rFonts w:eastAsia="MS Mincho"/>
                <w:bCs/>
                <w:sz w:val="23"/>
                <w:szCs w:val="23"/>
                <w:lang w:val="pt-BR"/>
              </w:rPr>
            </w:pPr>
            <w:r w:rsidRPr="007C1EF6">
              <w:rPr>
                <w:rFonts w:eastAsia="MS Mincho"/>
                <w:bCs/>
                <w:sz w:val="23"/>
                <w:szCs w:val="23"/>
                <w:lang w:val="pt-BR"/>
              </w:rPr>
              <w:t>Hoạt động xây dựng và việc quản lý, sử dụng vốn đầu tư Dự án thành phần 1A của dự án đầu tư xây dựng đoạn Tân Vạn - Nhơn Trạch giai đoạn 1 thuộc đường vành đai 3 thành phố Hồ Chí Minh (sau đây viết tắt là Dự án Tân Vạn - Nhơn Trạch); Dự án đầu tư xây dựng công trình cầu Rạch Miễu 2 nối tỉnh Tiền Giang và tỉnh Bến Tre</w:t>
            </w:r>
          </w:p>
        </w:tc>
        <w:tc>
          <w:tcPr>
            <w:tcW w:w="1980" w:type="pct"/>
          </w:tcPr>
          <w:p w14:paraId="523F29C7" w14:textId="64206B29" w:rsidR="005C188D" w:rsidRPr="007C1EF6" w:rsidRDefault="005C188D" w:rsidP="0042173F">
            <w:pPr>
              <w:tabs>
                <w:tab w:val="left" w:leader="dot" w:pos="8900"/>
              </w:tabs>
              <w:ind w:right="68"/>
              <w:jc w:val="both"/>
              <w:rPr>
                <w:sz w:val="23"/>
                <w:szCs w:val="23"/>
                <w:lang w:val="pt-BR"/>
              </w:rPr>
            </w:pPr>
            <w:r w:rsidRPr="007C1EF6">
              <w:rPr>
                <w:sz w:val="23"/>
                <w:szCs w:val="23"/>
                <w:lang w:val="pt-BR"/>
              </w:rPr>
              <w:t>Chỉ đạo các tổ chức, cá nhân có liên quan kiểm tra, làm rõ về việc: Theo quy định tại điểm c khoản 1 Điều 26 Nghị định số 136/2015/NĐ-CP ngày 31/12/2015 hướng dẫn thi hành một số điều của Luật Đầu tư công, thời gian thẩm định báo cáo nghiên cứu tiền khả thi dự án nhóm A không quá 45 ngày, tuy nhiên: (i) Bộ Kế hoạch và Đầu tư chủ trì, phối hợp với các cơ quan liên quan  tổ chức thẩm định với thời gian khoảng 120 ngày  chậm 75 ngày; (ii) Bộ Kế hoạch và Đầu tư chủ trì, phối hợp với các cơ quan liên quan tổ chức thẩm định báo cáo nghiên cứu tiền khả thi điều chỉnh với thời gian khoảng 50 ngày chậm 05 ngày. Quá trình kiểm tra làm rõ nếu phát hiện có sai sót thì yêu cầu chấn chỉnh, rút kinh nghiệm.</w:t>
            </w:r>
          </w:p>
        </w:tc>
      </w:tr>
      <w:tr w:rsidR="005C188D" w:rsidRPr="007C1EF6" w14:paraId="10E2A316" w14:textId="1914A7B5" w:rsidTr="005C188D">
        <w:trPr>
          <w:trHeight w:val="170"/>
          <w:jc w:val="center"/>
        </w:trPr>
        <w:tc>
          <w:tcPr>
            <w:tcW w:w="199" w:type="pct"/>
          </w:tcPr>
          <w:p w14:paraId="43B0FF46" w14:textId="77777777" w:rsidR="005C188D" w:rsidRPr="007C1EF6" w:rsidRDefault="005C188D" w:rsidP="0042173F">
            <w:pPr>
              <w:pStyle w:val="ListParagraph"/>
              <w:widowControl w:val="0"/>
              <w:numPr>
                <w:ilvl w:val="0"/>
                <w:numId w:val="13"/>
              </w:numPr>
              <w:spacing w:after="0" w:line="240" w:lineRule="auto"/>
              <w:ind w:left="0" w:firstLine="82"/>
              <w:jc w:val="center"/>
              <w:rPr>
                <w:rFonts w:ascii="Times New Roman" w:hAnsi="Times New Roman"/>
                <w:sz w:val="23"/>
                <w:szCs w:val="23"/>
              </w:rPr>
            </w:pPr>
          </w:p>
        </w:tc>
        <w:tc>
          <w:tcPr>
            <w:tcW w:w="1221" w:type="pct"/>
          </w:tcPr>
          <w:p w14:paraId="783DFC10" w14:textId="25B1B5E6" w:rsidR="005C188D" w:rsidRPr="007C1EF6" w:rsidRDefault="005C188D" w:rsidP="0042173F">
            <w:pPr>
              <w:ind w:right="238"/>
              <w:jc w:val="both"/>
              <w:rPr>
                <w:sz w:val="23"/>
                <w:szCs w:val="23"/>
              </w:rPr>
            </w:pPr>
            <w:r w:rsidRPr="007C1EF6">
              <w:rPr>
                <w:sz w:val="23"/>
                <w:szCs w:val="23"/>
              </w:rPr>
              <w:t>UBND tỉnh Đồng Tháp</w:t>
            </w:r>
          </w:p>
        </w:tc>
        <w:tc>
          <w:tcPr>
            <w:tcW w:w="1601" w:type="pct"/>
          </w:tcPr>
          <w:p w14:paraId="7CFBF7A2" w14:textId="17FB71D7" w:rsidR="005C188D" w:rsidRPr="007C1EF6" w:rsidRDefault="005C188D" w:rsidP="0042173F">
            <w:pPr>
              <w:ind w:right="31"/>
              <w:jc w:val="both"/>
              <w:rPr>
                <w:rFonts w:eastAsia="MS Mincho"/>
                <w:bCs/>
                <w:sz w:val="23"/>
                <w:szCs w:val="23"/>
                <w:lang w:val="pt-BR"/>
              </w:rPr>
            </w:pPr>
            <w:r w:rsidRPr="007C1EF6">
              <w:rPr>
                <w:rFonts w:eastAsia="MS Mincho"/>
                <w:bCs/>
                <w:sz w:val="23"/>
                <w:szCs w:val="23"/>
                <w:lang w:val="pt-BR"/>
              </w:rPr>
              <w:t>Hoạt động xây dựng và việc quản lý, sử dụng vốn đầu tư Dự án thành phần 1A của dự án đầu tư xây dựng đoạn Tân Vạn - Nhơn Trạch giai đoạn 1 thuộc đường vành đai 3 thành phố Hồ Chí Minh (sau đây viết tắt là Dự án Tân Vạn - Nhơn Trạch); Dự án đầu tư xây dựng công trình cầu Rạch Miễu 2 nối tỉnh Tiền Giang và tỉnh Bến Tre</w:t>
            </w:r>
          </w:p>
        </w:tc>
        <w:tc>
          <w:tcPr>
            <w:tcW w:w="1980" w:type="pct"/>
          </w:tcPr>
          <w:p w14:paraId="5660CB09" w14:textId="77777777" w:rsidR="005C188D" w:rsidRPr="007C1EF6" w:rsidRDefault="005C188D" w:rsidP="0042173F">
            <w:pPr>
              <w:tabs>
                <w:tab w:val="left" w:leader="dot" w:pos="8900"/>
              </w:tabs>
              <w:ind w:right="68"/>
              <w:jc w:val="both"/>
              <w:rPr>
                <w:sz w:val="23"/>
                <w:szCs w:val="23"/>
                <w:lang w:val="pt-BR"/>
              </w:rPr>
            </w:pPr>
            <w:r w:rsidRPr="007C1EF6">
              <w:rPr>
                <w:sz w:val="23"/>
                <w:szCs w:val="23"/>
                <w:lang w:val="pt-BR"/>
              </w:rPr>
              <w:t>4.1. Kiến nghị công tác quản lý dự án đầu tư xây dựng công trình:</w:t>
            </w:r>
          </w:p>
          <w:p w14:paraId="5A5A05E3" w14:textId="77777777" w:rsidR="005C188D" w:rsidRPr="007C1EF6" w:rsidRDefault="005C188D" w:rsidP="0042173F">
            <w:pPr>
              <w:tabs>
                <w:tab w:val="left" w:leader="dot" w:pos="8900"/>
              </w:tabs>
              <w:ind w:right="68"/>
              <w:jc w:val="both"/>
              <w:rPr>
                <w:sz w:val="23"/>
                <w:szCs w:val="23"/>
                <w:lang w:val="pt-BR"/>
              </w:rPr>
            </w:pPr>
            <w:r w:rsidRPr="007C1EF6">
              <w:rPr>
                <w:sz w:val="23"/>
                <w:szCs w:val="23"/>
                <w:lang w:val="pt-BR"/>
              </w:rPr>
              <w:t>(i) Đề nghị UBND tỉnh Đồng Tháp chỉ đạo Ban QLDA thực hiện Tiểu dự án bồi thường, hỗ trợ và tái định cư Dự án đầu tư xây dựng công trình cầu Rạch Miễu 2 nối tỉnh Tiền Giang và tỉnh Bến Tre (địa phận tỉnh Tiền Giang) và các đơn vị liên quan nghiêm túc thực hiện các kết luận, kiến nghị của Kiểm toán nhà nước.</w:t>
            </w:r>
          </w:p>
          <w:p w14:paraId="6957EB93" w14:textId="4AA0CBB4" w:rsidR="005C188D" w:rsidRPr="007C1EF6" w:rsidRDefault="005C188D" w:rsidP="0042173F">
            <w:pPr>
              <w:tabs>
                <w:tab w:val="left" w:leader="dot" w:pos="8900"/>
              </w:tabs>
              <w:ind w:right="68"/>
              <w:jc w:val="both"/>
              <w:rPr>
                <w:sz w:val="23"/>
                <w:szCs w:val="23"/>
              </w:rPr>
            </w:pPr>
            <w:r w:rsidRPr="007C1EF6">
              <w:rPr>
                <w:sz w:val="23"/>
                <w:szCs w:val="23"/>
                <w:lang w:val="pt-BR"/>
              </w:rPr>
              <w:t>(ii) Đề nghị UBND tỉnh Đồng Tháp khi hoàn thành khu tái định cư có sử dụng vốn của Dự án cầu Rạch Miễu 2 thì thực hiện theo đúng quy định tại khoản 3 Điều 2 Quyết định số 1083/QĐ-TTg ngày 18/9/2023 của Thủ tướng Chính phủ.</w:t>
            </w:r>
          </w:p>
        </w:tc>
      </w:tr>
      <w:tr w:rsidR="005C188D" w:rsidRPr="007C1EF6" w14:paraId="065D83D7" w14:textId="77777777" w:rsidTr="005C188D">
        <w:trPr>
          <w:trHeight w:val="170"/>
          <w:jc w:val="center"/>
        </w:trPr>
        <w:tc>
          <w:tcPr>
            <w:tcW w:w="199" w:type="pct"/>
          </w:tcPr>
          <w:p w14:paraId="546CA2A9" w14:textId="77777777" w:rsidR="005C188D" w:rsidRPr="007C1EF6" w:rsidRDefault="005C188D" w:rsidP="0042173F">
            <w:pPr>
              <w:pStyle w:val="ListParagraph"/>
              <w:widowControl w:val="0"/>
              <w:numPr>
                <w:ilvl w:val="0"/>
                <w:numId w:val="13"/>
              </w:numPr>
              <w:spacing w:after="0" w:line="240" w:lineRule="auto"/>
              <w:ind w:left="0" w:firstLine="82"/>
              <w:jc w:val="center"/>
              <w:rPr>
                <w:rFonts w:ascii="Times New Roman" w:hAnsi="Times New Roman"/>
                <w:sz w:val="23"/>
                <w:szCs w:val="23"/>
              </w:rPr>
            </w:pPr>
          </w:p>
        </w:tc>
        <w:tc>
          <w:tcPr>
            <w:tcW w:w="1221" w:type="pct"/>
          </w:tcPr>
          <w:p w14:paraId="66A909EE" w14:textId="4C978A13" w:rsidR="005C188D" w:rsidRPr="007C1EF6" w:rsidRDefault="005C188D" w:rsidP="0042173F">
            <w:pPr>
              <w:ind w:right="238"/>
              <w:jc w:val="both"/>
              <w:rPr>
                <w:sz w:val="23"/>
                <w:szCs w:val="23"/>
              </w:rPr>
            </w:pPr>
            <w:r w:rsidRPr="007C1EF6">
              <w:rPr>
                <w:sz w:val="23"/>
                <w:szCs w:val="23"/>
              </w:rPr>
              <w:t>Bộ Xây dựng</w:t>
            </w:r>
          </w:p>
        </w:tc>
        <w:tc>
          <w:tcPr>
            <w:tcW w:w="1601" w:type="pct"/>
          </w:tcPr>
          <w:p w14:paraId="7DEED5CF" w14:textId="6F0371B3" w:rsidR="005C188D" w:rsidRPr="007C1EF6" w:rsidRDefault="005C188D" w:rsidP="0042173F">
            <w:pPr>
              <w:ind w:right="31"/>
              <w:jc w:val="both"/>
              <w:rPr>
                <w:rFonts w:eastAsia="MS Mincho"/>
                <w:bCs/>
                <w:sz w:val="23"/>
                <w:szCs w:val="23"/>
                <w:lang w:val="pt-BR"/>
              </w:rPr>
            </w:pPr>
            <w:r w:rsidRPr="007C1EF6">
              <w:rPr>
                <w:sz w:val="23"/>
                <w:szCs w:val="23"/>
                <w:lang w:val="pt-BR"/>
              </w:rPr>
              <w:t>Hoạt động xây dựng và việc quản lý, sử dụng vốn đầu tư các dự án thành phần thuộc Dự án xây dựng công trình đường bộ cao tốc Bắc - Nam phía Đông giai đoạn 2021 - 2025 (đoạn Hoài Nhơn - Quy Nhơn, Quy Nhơn - Chí Thạnh)</w:t>
            </w:r>
          </w:p>
        </w:tc>
        <w:tc>
          <w:tcPr>
            <w:tcW w:w="1980" w:type="pct"/>
          </w:tcPr>
          <w:p w14:paraId="3DDE71EE" w14:textId="77777777" w:rsidR="005C188D" w:rsidRPr="007C1EF6" w:rsidRDefault="005C188D" w:rsidP="0042173F">
            <w:pPr>
              <w:widowControl w:val="0"/>
              <w:shd w:val="clear" w:color="auto" w:fill="FFFFFF"/>
              <w:jc w:val="both"/>
              <w:rPr>
                <w:sz w:val="23"/>
                <w:szCs w:val="23"/>
                <w:lang w:val="pt-BR"/>
              </w:rPr>
            </w:pPr>
            <w:r w:rsidRPr="007C1EF6">
              <w:rPr>
                <w:sz w:val="23"/>
                <w:szCs w:val="23"/>
                <w:lang w:val="pt-BR"/>
              </w:rPr>
              <w:t>- Điều chỉnh kế hoạch vốn ngân sách nhà nước năm 2025 đảm bảo tổng kế hoạch vốn bố trí hàng năm cho dự án phù hợp với kế hoạch đầu tư công trung hạn giai đoạn 2021-2025 của 02 dự án.</w:t>
            </w:r>
          </w:p>
          <w:p w14:paraId="19C584DD" w14:textId="77777777" w:rsidR="005C188D" w:rsidRPr="007C1EF6" w:rsidRDefault="005C188D" w:rsidP="0042173F">
            <w:pPr>
              <w:widowControl w:val="0"/>
              <w:shd w:val="clear" w:color="auto" w:fill="FFFFFF"/>
              <w:jc w:val="both"/>
              <w:rPr>
                <w:sz w:val="23"/>
                <w:szCs w:val="23"/>
                <w:lang w:val="pt-BR"/>
              </w:rPr>
            </w:pPr>
            <w:r w:rsidRPr="007C1EF6">
              <w:rPr>
                <w:sz w:val="23"/>
                <w:szCs w:val="23"/>
                <w:lang w:val="pt-BR"/>
              </w:rPr>
              <w:t xml:space="preserve">- Chấn chỉnh, rút kinh nghiệm đối với các tập thể, cá nhân liên quan đến những hạn chế, tồn tại trong công tác: Bố trí kế hoạch vốn từ năm 2022 đến năm 2025 cho 02 dự án chưa điều chỉnh kịp thời dẫn đến cao hơn kế hoạch đầu tư công trung hạn giai đoạn 2021-2025 của 02 dự án. </w:t>
            </w:r>
          </w:p>
          <w:p w14:paraId="4E8D6B0C" w14:textId="77777777" w:rsidR="005C188D" w:rsidRPr="007C1EF6" w:rsidRDefault="005C188D" w:rsidP="0042173F">
            <w:pPr>
              <w:tabs>
                <w:tab w:val="left" w:leader="dot" w:pos="8900"/>
              </w:tabs>
              <w:ind w:right="68"/>
              <w:jc w:val="both"/>
              <w:rPr>
                <w:sz w:val="23"/>
                <w:szCs w:val="23"/>
                <w:lang w:val="pt-BR"/>
              </w:rPr>
            </w:pPr>
          </w:p>
        </w:tc>
      </w:tr>
      <w:tr w:rsidR="005C188D" w:rsidRPr="007C1EF6" w14:paraId="1835DA93" w14:textId="77777777" w:rsidTr="005C188D">
        <w:trPr>
          <w:trHeight w:val="170"/>
          <w:jc w:val="center"/>
        </w:trPr>
        <w:tc>
          <w:tcPr>
            <w:tcW w:w="199" w:type="pct"/>
          </w:tcPr>
          <w:p w14:paraId="2C982461" w14:textId="77777777" w:rsidR="005C188D" w:rsidRPr="007C1EF6" w:rsidRDefault="005C188D" w:rsidP="0042173F">
            <w:pPr>
              <w:pStyle w:val="ListParagraph"/>
              <w:widowControl w:val="0"/>
              <w:numPr>
                <w:ilvl w:val="0"/>
                <w:numId w:val="13"/>
              </w:numPr>
              <w:spacing w:after="0" w:line="240" w:lineRule="auto"/>
              <w:ind w:left="0" w:firstLine="82"/>
              <w:jc w:val="center"/>
              <w:rPr>
                <w:rFonts w:ascii="Times New Roman" w:hAnsi="Times New Roman"/>
                <w:sz w:val="23"/>
                <w:szCs w:val="23"/>
              </w:rPr>
            </w:pPr>
          </w:p>
        </w:tc>
        <w:tc>
          <w:tcPr>
            <w:tcW w:w="1221" w:type="pct"/>
          </w:tcPr>
          <w:p w14:paraId="63B86B9D" w14:textId="650EE5D6" w:rsidR="005C188D" w:rsidRPr="007C1EF6" w:rsidRDefault="005C188D" w:rsidP="0042173F">
            <w:pPr>
              <w:ind w:right="238"/>
              <w:jc w:val="both"/>
              <w:rPr>
                <w:sz w:val="23"/>
                <w:szCs w:val="23"/>
              </w:rPr>
            </w:pPr>
            <w:r w:rsidRPr="007C1EF6">
              <w:rPr>
                <w:sz w:val="23"/>
                <w:szCs w:val="23"/>
              </w:rPr>
              <w:t>UBND tỉnh Gia Lai</w:t>
            </w:r>
          </w:p>
        </w:tc>
        <w:tc>
          <w:tcPr>
            <w:tcW w:w="1601" w:type="pct"/>
          </w:tcPr>
          <w:p w14:paraId="35053FBA" w14:textId="614E53CD" w:rsidR="005C188D" w:rsidRPr="007C1EF6" w:rsidRDefault="005C188D" w:rsidP="0042173F">
            <w:pPr>
              <w:ind w:right="31"/>
              <w:jc w:val="both"/>
              <w:rPr>
                <w:sz w:val="23"/>
                <w:szCs w:val="23"/>
                <w:lang w:val="pt-BR"/>
              </w:rPr>
            </w:pPr>
            <w:r w:rsidRPr="007C1EF6">
              <w:rPr>
                <w:sz w:val="23"/>
                <w:szCs w:val="23"/>
                <w:lang w:val="pt-BR"/>
              </w:rPr>
              <w:t>Hoạt động xây dựng và việc quản lý, sử dụng vốn đầu tư các dự án thành phần thuộc Dự án xây dựng công trình đường bộ cao tốc Bắc - Nam phía Đông giai đoạn 2021 - 2025 (đoạn Hoài Nhơn - Quy Nhơn, Quy Nhơn - Chí Thạnh)</w:t>
            </w:r>
          </w:p>
        </w:tc>
        <w:tc>
          <w:tcPr>
            <w:tcW w:w="1980" w:type="pct"/>
          </w:tcPr>
          <w:p w14:paraId="256A864F" w14:textId="59E53D1B" w:rsidR="005C188D" w:rsidRPr="007C1EF6" w:rsidRDefault="005C188D" w:rsidP="0042173F">
            <w:pPr>
              <w:widowControl w:val="0"/>
              <w:shd w:val="clear" w:color="auto" w:fill="FFFFFF"/>
              <w:jc w:val="both"/>
              <w:rPr>
                <w:sz w:val="23"/>
                <w:szCs w:val="23"/>
                <w:lang w:val="pt-BR"/>
              </w:rPr>
            </w:pPr>
            <w:r w:rsidRPr="007C1EF6">
              <w:rPr>
                <w:sz w:val="23"/>
                <w:szCs w:val="23"/>
                <w:lang w:val="pt-BR"/>
              </w:rPr>
              <w:t>Chỉ đạo các cơ quan chức năng rà soát lại các mỏ đất theo cơ chế đặc thù đã gia hạn thời gian khai thác nhưng chưa gia hạn thời gian thuê đất để xử lý theo quy định của pháp luật.</w:t>
            </w:r>
          </w:p>
        </w:tc>
      </w:tr>
      <w:tr w:rsidR="005C188D" w:rsidRPr="007C1EF6" w14:paraId="00AD9F6D" w14:textId="77777777" w:rsidTr="005C188D">
        <w:trPr>
          <w:trHeight w:val="170"/>
          <w:jc w:val="center"/>
        </w:trPr>
        <w:tc>
          <w:tcPr>
            <w:tcW w:w="199" w:type="pct"/>
          </w:tcPr>
          <w:p w14:paraId="5F2B15C8" w14:textId="77777777" w:rsidR="005C188D" w:rsidRPr="007C1EF6" w:rsidRDefault="005C188D" w:rsidP="0042173F">
            <w:pPr>
              <w:pStyle w:val="ListParagraph"/>
              <w:widowControl w:val="0"/>
              <w:numPr>
                <w:ilvl w:val="0"/>
                <w:numId w:val="13"/>
              </w:numPr>
              <w:spacing w:after="0" w:line="240" w:lineRule="auto"/>
              <w:ind w:left="0" w:firstLine="82"/>
              <w:jc w:val="center"/>
              <w:rPr>
                <w:rFonts w:ascii="Times New Roman" w:hAnsi="Times New Roman"/>
                <w:sz w:val="23"/>
                <w:szCs w:val="23"/>
              </w:rPr>
            </w:pPr>
          </w:p>
        </w:tc>
        <w:tc>
          <w:tcPr>
            <w:tcW w:w="1221" w:type="pct"/>
          </w:tcPr>
          <w:p w14:paraId="12EF8D80" w14:textId="1FC9D61E" w:rsidR="005C188D" w:rsidRPr="007C1EF6" w:rsidRDefault="005C188D" w:rsidP="0042173F">
            <w:pPr>
              <w:ind w:right="238"/>
              <w:jc w:val="both"/>
              <w:rPr>
                <w:sz w:val="23"/>
                <w:szCs w:val="23"/>
              </w:rPr>
            </w:pPr>
            <w:r w:rsidRPr="007C1EF6">
              <w:rPr>
                <w:sz w:val="23"/>
                <w:szCs w:val="23"/>
              </w:rPr>
              <w:t>UBND tỉnh Đắk Lắk</w:t>
            </w:r>
          </w:p>
        </w:tc>
        <w:tc>
          <w:tcPr>
            <w:tcW w:w="1601" w:type="pct"/>
          </w:tcPr>
          <w:p w14:paraId="0B1413F0" w14:textId="1C5E55B2" w:rsidR="005C188D" w:rsidRPr="007C1EF6" w:rsidRDefault="005C188D" w:rsidP="0042173F">
            <w:pPr>
              <w:ind w:right="31"/>
              <w:jc w:val="both"/>
              <w:rPr>
                <w:sz w:val="23"/>
                <w:szCs w:val="23"/>
                <w:lang w:val="pt-BR"/>
              </w:rPr>
            </w:pPr>
            <w:r w:rsidRPr="007C1EF6">
              <w:rPr>
                <w:sz w:val="23"/>
                <w:szCs w:val="23"/>
                <w:lang w:val="pt-BR"/>
              </w:rPr>
              <w:t>Hoạt động xây dựng và việc quản lý, sử dụng vốn đầu tư các dự án thành phần thuộc Dự án xây dựng công trình đường bộ cao tốc Bắc - Nam phía Đông giai đoạn 2021 - 2025 (đoạn Hoài Nhơn - Quy Nhơn, Quy Nhơn - Chí Thạnh)</w:t>
            </w:r>
          </w:p>
        </w:tc>
        <w:tc>
          <w:tcPr>
            <w:tcW w:w="1980" w:type="pct"/>
          </w:tcPr>
          <w:p w14:paraId="1C4D86A7" w14:textId="20F847A5" w:rsidR="005C188D" w:rsidRPr="007C1EF6" w:rsidRDefault="005C188D" w:rsidP="0042173F">
            <w:pPr>
              <w:widowControl w:val="0"/>
              <w:shd w:val="clear" w:color="auto" w:fill="FFFFFF"/>
              <w:jc w:val="both"/>
              <w:rPr>
                <w:sz w:val="23"/>
                <w:szCs w:val="23"/>
                <w:lang w:val="pt-BR"/>
              </w:rPr>
            </w:pPr>
            <w:r w:rsidRPr="007C1EF6">
              <w:rPr>
                <w:sz w:val="23"/>
                <w:szCs w:val="23"/>
                <w:lang w:val="pt-BR"/>
              </w:rPr>
              <w:t>Chỉ đạo các cơ quan chức năng rà soát lại việc thực hiện ký quỹ bảo vệ môi trường của các nhà thầu đã nêu trên để xử lý theo quy định của pháp luật.</w:t>
            </w:r>
          </w:p>
        </w:tc>
      </w:tr>
      <w:tr w:rsidR="005C188D" w:rsidRPr="007C1EF6" w14:paraId="62AE2778" w14:textId="77777777" w:rsidTr="005C188D">
        <w:trPr>
          <w:trHeight w:val="170"/>
          <w:jc w:val="center"/>
        </w:trPr>
        <w:tc>
          <w:tcPr>
            <w:tcW w:w="199" w:type="pct"/>
          </w:tcPr>
          <w:p w14:paraId="23C7BC69" w14:textId="77777777" w:rsidR="005C188D" w:rsidRPr="007C1EF6" w:rsidRDefault="005C188D" w:rsidP="0042173F">
            <w:pPr>
              <w:pStyle w:val="ListParagraph"/>
              <w:widowControl w:val="0"/>
              <w:numPr>
                <w:ilvl w:val="0"/>
                <w:numId w:val="13"/>
              </w:numPr>
              <w:spacing w:after="0" w:line="240" w:lineRule="auto"/>
              <w:ind w:left="0" w:firstLine="82"/>
              <w:jc w:val="center"/>
              <w:rPr>
                <w:rFonts w:ascii="Times New Roman" w:hAnsi="Times New Roman"/>
                <w:sz w:val="23"/>
                <w:szCs w:val="23"/>
              </w:rPr>
            </w:pPr>
          </w:p>
        </w:tc>
        <w:tc>
          <w:tcPr>
            <w:tcW w:w="1221" w:type="pct"/>
          </w:tcPr>
          <w:p w14:paraId="4093CCC7" w14:textId="4E2D10FE" w:rsidR="005C188D" w:rsidRPr="007C1EF6" w:rsidRDefault="005C188D" w:rsidP="0042173F">
            <w:pPr>
              <w:ind w:right="238"/>
              <w:jc w:val="both"/>
              <w:rPr>
                <w:sz w:val="23"/>
                <w:szCs w:val="23"/>
              </w:rPr>
            </w:pPr>
            <w:r w:rsidRPr="007C1EF6">
              <w:rPr>
                <w:sz w:val="23"/>
                <w:szCs w:val="23"/>
              </w:rPr>
              <w:t>Bộ Tài chính</w:t>
            </w:r>
          </w:p>
        </w:tc>
        <w:tc>
          <w:tcPr>
            <w:tcW w:w="1601" w:type="pct"/>
          </w:tcPr>
          <w:p w14:paraId="0123D6D2" w14:textId="2ABBE259" w:rsidR="005C188D" w:rsidRPr="007C1EF6" w:rsidRDefault="005C188D" w:rsidP="0042173F">
            <w:pPr>
              <w:ind w:right="31"/>
              <w:jc w:val="both"/>
              <w:rPr>
                <w:sz w:val="23"/>
                <w:szCs w:val="23"/>
                <w:lang w:val="pt-BR"/>
              </w:rPr>
            </w:pPr>
            <w:r w:rsidRPr="007C1EF6">
              <w:rPr>
                <w:rFonts w:eastAsia="MS Mincho"/>
                <w:bCs/>
                <w:sz w:val="23"/>
                <w:szCs w:val="23"/>
                <w:lang w:val="pt-BR"/>
              </w:rPr>
              <w:t>Việc thực hiện các chính sách ưu đãi đầu tư tại khu kinh tế, khu công nghiệp giai đoạn 2022-2024 tại Bộ Tài chính và các địa phương: Quảng Ninh, Bình Thuận, Hà Tĩnh, Thanh Hóa, Đồng Nai, Bắc Ninh, Hà Nội, Quảng Bình</w:t>
            </w:r>
          </w:p>
        </w:tc>
        <w:tc>
          <w:tcPr>
            <w:tcW w:w="1980" w:type="pct"/>
          </w:tcPr>
          <w:p w14:paraId="211640DD" w14:textId="77777777" w:rsidR="005C188D" w:rsidRPr="007C1EF6" w:rsidRDefault="005C188D" w:rsidP="0042173F">
            <w:pPr>
              <w:tabs>
                <w:tab w:val="left" w:leader="dot" w:pos="8900"/>
              </w:tabs>
              <w:ind w:right="68"/>
              <w:jc w:val="both"/>
              <w:rPr>
                <w:sz w:val="23"/>
                <w:szCs w:val="23"/>
                <w:lang w:val="pt-BR"/>
              </w:rPr>
            </w:pPr>
            <w:r w:rsidRPr="007C1EF6">
              <w:rPr>
                <w:sz w:val="23"/>
                <w:szCs w:val="23"/>
                <w:lang w:val="pt-BR"/>
              </w:rPr>
              <w:t xml:space="preserve">1.1.1. Trong công tác quản lý, điều hành </w:t>
            </w:r>
          </w:p>
          <w:p w14:paraId="6DC33294" w14:textId="77777777" w:rsidR="005C188D" w:rsidRPr="007C1EF6" w:rsidRDefault="005C188D" w:rsidP="0042173F">
            <w:pPr>
              <w:tabs>
                <w:tab w:val="left" w:leader="dot" w:pos="8900"/>
              </w:tabs>
              <w:ind w:right="68"/>
              <w:jc w:val="both"/>
              <w:rPr>
                <w:sz w:val="23"/>
                <w:szCs w:val="23"/>
                <w:lang w:val="pt-BR"/>
              </w:rPr>
            </w:pPr>
            <w:r w:rsidRPr="007C1EF6">
              <w:rPr>
                <w:sz w:val="23"/>
                <w:szCs w:val="23"/>
                <w:lang w:val="pt-BR"/>
              </w:rPr>
              <w:t>- Khẩn trương báo cáo Chính phủ việc xây dựng khung pháp lý về KKT, KCN nhằm tạo hành lang pháp lý thống nhất, đồng bộ, thúc đẩy, phát triển kinh tế, thu hút đầu tư, đổi mới sáng tạo; nghiên cứu, tham mưu cho Chính phủ, xem xét sửa đổi, bổ sung các quy định pháp luật hiện hành theo hướng thống nhất chính sách ưu đãi trong phạm vi một Khu kinh tế được quy hoạch tích hợp, không phân biệt theo ranh giới địa phương hành chính; nghiên cứu tham mưu cho Chính phủ trình Quốc hội sửa đổi Luật Đầu tư năm 2020 theo hướng tránh trùng lặp, giảm bớt thủ tục hành chính trong việc Quyết định chấp thuận chủ trương đầu tư và cấp Giấy chứng nhận đăng ký đầu tư đối với các dự án đã được cấp chủ trương.</w:t>
            </w:r>
          </w:p>
          <w:p w14:paraId="74783EDD" w14:textId="77777777" w:rsidR="005C188D" w:rsidRPr="007C1EF6" w:rsidRDefault="005C188D" w:rsidP="0042173F">
            <w:pPr>
              <w:tabs>
                <w:tab w:val="left" w:leader="dot" w:pos="8900"/>
              </w:tabs>
              <w:ind w:right="68"/>
              <w:jc w:val="both"/>
              <w:rPr>
                <w:sz w:val="23"/>
                <w:szCs w:val="23"/>
                <w:lang w:val="pt-BR"/>
              </w:rPr>
            </w:pPr>
            <w:r w:rsidRPr="007C1EF6">
              <w:rPr>
                <w:sz w:val="23"/>
                <w:szCs w:val="23"/>
                <w:lang w:val="pt-BR"/>
              </w:rPr>
              <w:t>- Thực hiện rà soát lại danh mục các dự án đầu tư hạ tầng KKT, KCN trên nguyên tắc ưu tiên bố trí vốn cho các dự án đang triển khai, thực hiện; đảm bảo cân đối nguồn vốn phù hợp với thời gian thực hiện, tránh tình trạng bố trí ngắt quãng hoặc vi phạm Luật Đầu tư công.</w:t>
            </w:r>
          </w:p>
          <w:p w14:paraId="4410A217" w14:textId="77777777" w:rsidR="005C188D" w:rsidRPr="007C1EF6" w:rsidRDefault="005C188D" w:rsidP="0042173F">
            <w:pPr>
              <w:tabs>
                <w:tab w:val="left" w:leader="dot" w:pos="8900"/>
              </w:tabs>
              <w:ind w:right="68"/>
              <w:jc w:val="both"/>
              <w:rPr>
                <w:sz w:val="23"/>
                <w:szCs w:val="23"/>
                <w:lang w:val="pt-BR"/>
              </w:rPr>
            </w:pPr>
            <w:r w:rsidRPr="007C1EF6">
              <w:rPr>
                <w:sz w:val="23"/>
                <w:szCs w:val="23"/>
                <w:lang w:val="pt-BR"/>
              </w:rPr>
              <w:t>- Thực hiện xây dựng hệ thống dữ liệu riêng biệt để theo dõi chi tiết về nguồn NSNN chi cho đầu tư phát triển kết cấu hạ tầng KKT, KCN và các nguồn vốn hợp pháp khác (vốn ODA, vốn vay ưu đãi, vốn doanh nghiệp, PPP…). Hệ thống này cần tích hợp với cơ sở dữ liệu đầu tư công quốc gia để đảm bảo tính minh bạch và khả năng giám sát.</w:t>
            </w:r>
          </w:p>
          <w:p w14:paraId="4D27254B" w14:textId="77777777" w:rsidR="005C188D" w:rsidRPr="007C1EF6" w:rsidRDefault="005C188D" w:rsidP="0042173F">
            <w:pPr>
              <w:tabs>
                <w:tab w:val="left" w:leader="dot" w:pos="8900"/>
              </w:tabs>
              <w:ind w:right="68"/>
              <w:jc w:val="both"/>
              <w:rPr>
                <w:sz w:val="23"/>
                <w:szCs w:val="23"/>
                <w:lang w:val="pt-BR"/>
              </w:rPr>
            </w:pPr>
            <w:r w:rsidRPr="007C1EF6">
              <w:rPr>
                <w:sz w:val="23"/>
                <w:szCs w:val="23"/>
                <w:lang w:val="pt-BR"/>
              </w:rPr>
              <w:lastRenderedPageBreak/>
              <w:t>- Khẩn trương báo cáo Chính phủ, Thủ tướng Chính phủ các vấn đề sau:</w:t>
            </w:r>
          </w:p>
          <w:p w14:paraId="71CE9F63" w14:textId="77777777" w:rsidR="005C188D" w:rsidRPr="007C1EF6" w:rsidRDefault="005C188D" w:rsidP="0042173F">
            <w:pPr>
              <w:tabs>
                <w:tab w:val="left" w:leader="dot" w:pos="8900"/>
              </w:tabs>
              <w:ind w:right="68"/>
              <w:jc w:val="both"/>
              <w:rPr>
                <w:sz w:val="23"/>
                <w:szCs w:val="23"/>
                <w:lang w:val="pt-BR"/>
              </w:rPr>
            </w:pPr>
            <w:r w:rsidRPr="007C1EF6">
              <w:rPr>
                <w:sz w:val="23"/>
                <w:szCs w:val="23"/>
                <w:lang w:val="pt-BR"/>
              </w:rPr>
              <w:t>+ Báo cáo các vấn đề KTNN đã nêu liên quan bất cập và lỗ hổng chính sách liên điều kiện thành lập KCN: Quy định cụ thể về hồ sơ hợp lệ để tránh tình trạng lợi dụng chính sách thành lập KCN một cách tràn lan, về tỷ lệ lấp đầy, lập tổng mức đầu tư dự án hạ tầng KCN, năng lực tài chính, điều kiện về quy hoạch xây dựng nhà ở, tình trạng phân bổ chỉ tiêu đất KCN trong kế hoạch sử dụng đất quốc gia đến năm 2025 cho các dự án KCN có tính dàn trải (chỉ tiêu phân bổ cho dự án KCN chỉ chiếm tỷ lệ rất thấp so với quy mô diện tích KCN được đề xuất tại hồ sơ dự án) để nhằm đề xuất chấp thuận chủ trương đầu tư nhiều dự án KCN trong cùng thời điểm để khắc phục theo quy định.</w:t>
            </w:r>
          </w:p>
          <w:p w14:paraId="1EC57D72" w14:textId="77777777" w:rsidR="005C188D" w:rsidRPr="007C1EF6" w:rsidRDefault="005C188D" w:rsidP="0042173F">
            <w:pPr>
              <w:tabs>
                <w:tab w:val="left" w:leader="dot" w:pos="8900"/>
              </w:tabs>
              <w:ind w:right="68"/>
              <w:jc w:val="both"/>
              <w:rPr>
                <w:sz w:val="23"/>
                <w:szCs w:val="23"/>
                <w:lang w:val="pt-BR"/>
              </w:rPr>
            </w:pPr>
            <w:r w:rsidRPr="007C1EF6">
              <w:rPr>
                <w:sz w:val="23"/>
                <w:szCs w:val="23"/>
                <w:lang w:val="pt-BR"/>
              </w:rPr>
              <w:t>+ Chỉ đạo các cơ quan có thẩm quyền thực hiện rà soát, kiểm tra các nội dung liên quan hồ sơ đề nghị chấp thuận chủ trương đầu tư mà Kiểm toán Nhà nước đã nêu về tổng mức đầu tư, điều kiện năng lực tài chính và cam kết của các nhà đầu tư KCN đã được Bộ Tài chính trình Thủ tướng Chính phủ chấp thuận về điều kiện năng lực tài chính, tổng mức đầu tư dự án hạ tầng KCN, quy hoạch xây dựng nhà ở và thực hiện xử lý theo quy định.</w:t>
            </w:r>
          </w:p>
          <w:p w14:paraId="196A4839" w14:textId="77777777" w:rsidR="005C188D" w:rsidRPr="007C1EF6" w:rsidRDefault="005C188D" w:rsidP="0042173F">
            <w:pPr>
              <w:tabs>
                <w:tab w:val="left" w:leader="dot" w:pos="8900"/>
              </w:tabs>
              <w:ind w:right="68"/>
              <w:jc w:val="both"/>
              <w:rPr>
                <w:sz w:val="23"/>
                <w:szCs w:val="23"/>
                <w:lang w:val="pt-BR"/>
              </w:rPr>
            </w:pPr>
            <w:r w:rsidRPr="007C1EF6">
              <w:rPr>
                <w:sz w:val="23"/>
                <w:szCs w:val="23"/>
                <w:lang w:val="pt-BR"/>
              </w:rPr>
              <w:t>- Phối hợp với các địa phương thực hiện rà soát, làm rõ nguyên nhân nhiều KCN đã được thành lập từ trước năm 2021 nhưng chưa đi vào hoạt động; Kiến nghị, đề xuất biện pháp tháo gỡ khó khăn, vướng mắc (nếu có), xử lý trách nhiệm nếu có sai phạm trong thực hiện các dự án đầu tư hạ tầng KCN.</w:t>
            </w:r>
          </w:p>
          <w:p w14:paraId="1D6162F7" w14:textId="77777777" w:rsidR="005C188D" w:rsidRPr="007C1EF6" w:rsidRDefault="005C188D" w:rsidP="0042173F">
            <w:pPr>
              <w:tabs>
                <w:tab w:val="left" w:leader="dot" w:pos="8900"/>
              </w:tabs>
              <w:ind w:right="68"/>
              <w:jc w:val="both"/>
              <w:rPr>
                <w:sz w:val="23"/>
                <w:szCs w:val="23"/>
                <w:lang w:val="pt-BR"/>
              </w:rPr>
            </w:pPr>
            <w:r w:rsidRPr="007C1EF6">
              <w:rPr>
                <w:sz w:val="23"/>
                <w:szCs w:val="23"/>
                <w:lang w:val="pt-BR"/>
              </w:rPr>
              <w:t>1.1.2. Kiến nghị rút kinh nghiệm</w:t>
            </w:r>
          </w:p>
          <w:p w14:paraId="3C1E504F" w14:textId="77777777" w:rsidR="005C188D" w:rsidRPr="007C1EF6" w:rsidRDefault="005C188D" w:rsidP="0042173F">
            <w:pPr>
              <w:tabs>
                <w:tab w:val="left" w:leader="dot" w:pos="8900"/>
              </w:tabs>
              <w:ind w:right="68"/>
              <w:jc w:val="both"/>
              <w:rPr>
                <w:sz w:val="23"/>
                <w:szCs w:val="23"/>
                <w:lang w:val="pt-BR"/>
              </w:rPr>
            </w:pPr>
            <w:r w:rsidRPr="007C1EF6">
              <w:rPr>
                <w:sz w:val="23"/>
                <w:szCs w:val="23"/>
                <w:lang w:val="pt-BR"/>
              </w:rPr>
              <w:t xml:space="preserve">Thực hiện rút kinh nghiệm trong việc: (i) Không có văn bản hoặc báo cáo về việc đề xuất việc sử dụng vốn từ ngân sách nhà nước chi cho đầu tư phát triển và nguồn vốn hợp pháp khác để đầu tư xây dựng kết cấu hạ tầng khu công nghiệp, khu chức năng trong khu kinh tế theo quy định tại khoản 3 Điều 53 Nghị định 35/2022/NĐ-CP (ii) Năm 2022, 2023 Bộ Tài chính không ban hành mẫu biểu báo cáo về tình hình </w:t>
            </w:r>
            <w:r w:rsidRPr="007C1EF6">
              <w:rPr>
                <w:sz w:val="23"/>
                <w:szCs w:val="23"/>
                <w:lang w:val="pt-BR"/>
              </w:rPr>
              <w:lastRenderedPageBreak/>
              <w:t>xây dựng và phát triển các KKT cửa khẩu; (iii) Công tác thẩm định hồ sơ chấp thuận chủ trương đầu tư còn tồn tại; (iv) Không có trường dữ liệu theo dõi vốn từ NSNN chi cho đầu tư phát triển và nguồn vốn hợp pháp khác để đầu tư xây dựng kết cấu hạ tầng KCN, khu chức năng trong KKT; (v) Chưa xây dựng hoàn hiện và vận hành hệ thống thông tin quốc gia về khu công nghiệp, khu kinh tế; hướng dẫn xây dựng chỉ tiêu đánh giá kết quả, hiệu quả kinh tế - xã hội của khu công nghiệp, khu kinh tế chưa đầy đủ; chưa chủ trì, phối hợp với các bộ, cơ quan ngang bộ, Ủy ban nhân dân cấp tỉnh, Ban quản lý khu công nghiệp, khu kinh tế, tổ chức có liên quan hướng dẫn xây dựng khu công nghiệp hỗ trợ, khu công nghiệp chuyên ngành, khu công nghiệp công nghệ cao, khu công nghiệp - đô thị - dịch vụ.</w:t>
            </w:r>
          </w:p>
          <w:p w14:paraId="71FBB17A" w14:textId="77777777" w:rsidR="005C188D" w:rsidRPr="007C1EF6" w:rsidRDefault="005C188D" w:rsidP="0042173F">
            <w:pPr>
              <w:tabs>
                <w:tab w:val="left" w:leader="dot" w:pos="8900"/>
              </w:tabs>
              <w:ind w:right="68"/>
              <w:jc w:val="both"/>
              <w:rPr>
                <w:sz w:val="23"/>
                <w:szCs w:val="23"/>
                <w:lang w:val="pt-BR"/>
              </w:rPr>
            </w:pPr>
            <w:r w:rsidRPr="007C1EF6">
              <w:rPr>
                <w:sz w:val="23"/>
                <w:szCs w:val="23"/>
                <w:lang w:val="pt-BR"/>
              </w:rPr>
              <w:t>1.1.3. Tổng hợp báo cáo Thủ tướng Chính phủ xem xét, chỉ đạo các Bộ, ngành có liên quan sau:</w:t>
            </w:r>
          </w:p>
          <w:p w14:paraId="5FD479CC" w14:textId="77777777" w:rsidR="005C188D" w:rsidRPr="007C1EF6" w:rsidRDefault="005C188D" w:rsidP="0042173F">
            <w:pPr>
              <w:tabs>
                <w:tab w:val="left" w:leader="dot" w:pos="8900"/>
              </w:tabs>
              <w:ind w:right="68"/>
              <w:jc w:val="both"/>
              <w:rPr>
                <w:sz w:val="23"/>
                <w:szCs w:val="23"/>
                <w:lang w:val="pt-BR"/>
              </w:rPr>
            </w:pPr>
            <w:r w:rsidRPr="007C1EF6">
              <w:rPr>
                <w:sz w:val="23"/>
                <w:szCs w:val="23"/>
                <w:lang w:val="pt-BR"/>
              </w:rPr>
              <w:t xml:space="preserve">- Đối với Bộ Xây dựng và Ủy ban nhân dân các cấp: </w:t>
            </w:r>
          </w:p>
          <w:p w14:paraId="75517746" w14:textId="77777777" w:rsidR="005C188D" w:rsidRPr="007C1EF6" w:rsidRDefault="005C188D" w:rsidP="0042173F">
            <w:pPr>
              <w:tabs>
                <w:tab w:val="left" w:leader="dot" w:pos="8900"/>
              </w:tabs>
              <w:ind w:right="68"/>
              <w:jc w:val="both"/>
              <w:rPr>
                <w:sz w:val="23"/>
                <w:szCs w:val="23"/>
                <w:lang w:val="pt-BR"/>
              </w:rPr>
            </w:pPr>
            <w:r w:rsidRPr="007C1EF6">
              <w:rPr>
                <w:sz w:val="23"/>
                <w:szCs w:val="23"/>
                <w:lang w:val="pt-BR"/>
              </w:rPr>
              <w:t>+ Nghiên cứu, xem xét cắt giảm thủ tục cấp giấy phép xây dựng đối với các công trình thuộc dự án đầu tư xây dựng đã có quy hoạch chi tiết xây dựng tỷ lệ 1/500 hoặc quy hoạch chi tiết xây dựng rút gọn tỷ lệ 1/500 trong các Khu công nghiệp, Khu công nghệ cao.</w:t>
            </w:r>
          </w:p>
          <w:p w14:paraId="5159B569" w14:textId="77777777" w:rsidR="005C188D" w:rsidRPr="007C1EF6" w:rsidRDefault="005C188D" w:rsidP="0042173F">
            <w:pPr>
              <w:tabs>
                <w:tab w:val="left" w:leader="dot" w:pos="8900"/>
              </w:tabs>
              <w:ind w:right="68"/>
              <w:jc w:val="both"/>
              <w:rPr>
                <w:sz w:val="23"/>
                <w:szCs w:val="23"/>
                <w:lang w:val="pt-BR"/>
              </w:rPr>
            </w:pPr>
            <w:r w:rsidRPr="007C1EF6">
              <w:rPr>
                <w:sz w:val="23"/>
                <w:szCs w:val="23"/>
                <w:lang w:val="pt-BR"/>
              </w:rPr>
              <w:t>+ Nghiên cứu, xem xét cắt giảm bước lấy ý kiến cộng đồng dân cư đối với Đồ án quy hoạch chi tiết xây dựng tỷ lệ 1/500 hoặc Đồ án quy hoạch chi tiết xây dựng rút gọn tỷ lệ 1/500 trong các Khu công nghiệp, Khu công nghệ cao do việc lấy ý kiến cộng đồng dân cư đã được thực hiện trước khi phê duyệt Đồ án quy hoạch phân khu xây dựng tỷ lệ 1/2000 của các Khu công nghiệp, Khu công nghệ cao.</w:t>
            </w:r>
          </w:p>
          <w:p w14:paraId="56F4F8AD" w14:textId="79915615" w:rsidR="005C188D" w:rsidRPr="007C1EF6" w:rsidRDefault="005C188D" w:rsidP="0042173F">
            <w:pPr>
              <w:widowControl w:val="0"/>
              <w:shd w:val="clear" w:color="auto" w:fill="FFFFFF"/>
              <w:jc w:val="both"/>
              <w:rPr>
                <w:sz w:val="23"/>
                <w:szCs w:val="23"/>
                <w:lang w:val="pt-BR"/>
              </w:rPr>
            </w:pPr>
            <w:r w:rsidRPr="007C1EF6">
              <w:rPr>
                <w:sz w:val="23"/>
                <w:szCs w:val="23"/>
                <w:lang w:val="pt-BR"/>
              </w:rPr>
              <w:t>+ Nghiên cứu, xem xét cắt giảm thủ tục lấy ý kiến thống nhất bằng văn bản của cơ quan quản lý quy hoạch xây dựng thuộc Ủy ban nhân dân cấp tỉnh (Sở QHKT) trước khi phê duyệt Đồ án quy hoạch chi tiết xây dựng tỷ lệ 1/500 hoặc Đồ án quy hoạch chi tiết xây dựng rút gọn tỷ lệ 1/500 trong các Khu công nghiệp, Khu công nghệ cao.</w:t>
            </w:r>
          </w:p>
        </w:tc>
      </w:tr>
      <w:tr w:rsidR="005C188D" w:rsidRPr="007C1EF6" w14:paraId="44A0081D" w14:textId="77777777" w:rsidTr="005C188D">
        <w:trPr>
          <w:trHeight w:val="170"/>
          <w:jc w:val="center"/>
        </w:trPr>
        <w:tc>
          <w:tcPr>
            <w:tcW w:w="199" w:type="pct"/>
          </w:tcPr>
          <w:p w14:paraId="12C47ED1" w14:textId="77777777" w:rsidR="005C188D" w:rsidRPr="007C1EF6" w:rsidRDefault="005C188D" w:rsidP="0042173F">
            <w:pPr>
              <w:pStyle w:val="ListParagraph"/>
              <w:widowControl w:val="0"/>
              <w:numPr>
                <w:ilvl w:val="0"/>
                <w:numId w:val="13"/>
              </w:numPr>
              <w:spacing w:after="0" w:line="240" w:lineRule="auto"/>
              <w:ind w:left="0" w:firstLine="82"/>
              <w:jc w:val="center"/>
              <w:rPr>
                <w:rFonts w:ascii="Times New Roman" w:hAnsi="Times New Roman"/>
                <w:sz w:val="23"/>
                <w:szCs w:val="23"/>
              </w:rPr>
            </w:pPr>
          </w:p>
        </w:tc>
        <w:tc>
          <w:tcPr>
            <w:tcW w:w="1221" w:type="pct"/>
          </w:tcPr>
          <w:p w14:paraId="1741D3CC" w14:textId="22F91731" w:rsidR="005C188D" w:rsidRPr="007C1EF6" w:rsidRDefault="005C188D" w:rsidP="0042173F">
            <w:pPr>
              <w:ind w:right="238"/>
              <w:jc w:val="both"/>
              <w:rPr>
                <w:sz w:val="23"/>
                <w:szCs w:val="23"/>
              </w:rPr>
            </w:pPr>
            <w:r w:rsidRPr="007C1EF6">
              <w:rPr>
                <w:sz w:val="23"/>
                <w:szCs w:val="23"/>
              </w:rPr>
              <w:t xml:space="preserve">Bộ Tài chính </w:t>
            </w:r>
          </w:p>
        </w:tc>
        <w:tc>
          <w:tcPr>
            <w:tcW w:w="1601" w:type="pct"/>
          </w:tcPr>
          <w:p w14:paraId="5366F19B" w14:textId="37D04EC3" w:rsidR="005C188D" w:rsidRPr="007C1EF6" w:rsidRDefault="005C188D" w:rsidP="0042173F">
            <w:pPr>
              <w:ind w:right="31"/>
              <w:jc w:val="both"/>
              <w:rPr>
                <w:rFonts w:eastAsia="MS Mincho"/>
                <w:bCs/>
                <w:sz w:val="23"/>
                <w:szCs w:val="23"/>
                <w:lang w:val="pt-BR"/>
              </w:rPr>
            </w:pPr>
            <w:r w:rsidRPr="007C1EF6">
              <w:rPr>
                <w:noProof/>
                <w:sz w:val="23"/>
                <w:szCs w:val="23"/>
              </w:rPr>
              <w:t>Kết quả đánh giá lại tài sản cố định hữu hình của 03 nhà máy thủy điện Hòa Bình, Trị An, Ialy</w:t>
            </w:r>
          </w:p>
        </w:tc>
        <w:tc>
          <w:tcPr>
            <w:tcW w:w="1980" w:type="pct"/>
          </w:tcPr>
          <w:p w14:paraId="2F4F9F80" w14:textId="71A62B68" w:rsidR="005C188D" w:rsidRPr="007C1EF6" w:rsidRDefault="005C188D" w:rsidP="0042173F">
            <w:pPr>
              <w:tabs>
                <w:tab w:val="left" w:leader="dot" w:pos="8900"/>
              </w:tabs>
              <w:ind w:right="68"/>
              <w:jc w:val="both"/>
              <w:rPr>
                <w:sz w:val="23"/>
                <w:szCs w:val="23"/>
                <w:lang w:val="pt-BR"/>
              </w:rPr>
            </w:pPr>
            <w:r w:rsidRPr="007C1EF6">
              <w:rPr>
                <w:bCs/>
                <w:sz w:val="23"/>
                <w:szCs w:val="23"/>
                <w:lang w:val="de-DE"/>
              </w:rPr>
              <w:t>Chỉ đạo Hội đồng thành viên EVN nghiêm túc thực hiện các kiến nghị của Kiểm toán nhà nước.</w:t>
            </w:r>
          </w:p>
        </w:tc>
      </w:tr>
      <w:tr w:rsidR="005C188D" w:rsidRPr="007C1EF6" w14:paraId="69789CFD" w14:textId="77777777" w:rsidTr="005C188D">
        <w:trPr>
          <w:trHeight w:val="170"/>
          <w:jc w:val="center"/>
        </w:trPr>
        <w:tc>
          <w:tcPr>
            <w:tcW w:w="199" w:type="pct"/>
          </w:tcPr>
          <w:p w14:paraId="4A642CE2" w14:textId="77777777" w:rsidR="005C188D" w:rsidRPr="007C1EF6" w:rsidRDefault="005C188D" w:rsidP="0042173F">
            <w:pPr>
              <w:pStyle w:val="ListParagraph"/>
              <w:widowControl w:val="0"/>
              <w:numPr>
                <w:ilvl w:val="0"/>
                <w:numId w:val="13"/>
              </w:numPr>
              <w:spacing w:after="0" w:line="240" w:lineRule="auto"/>
              <w:ind w:left="0" w:firstLine="82"/>
              <w:jc w:val="center"/>
              <w:rPr>
                <w:rFonts w:ascii="Times New Roman" w:hAnsi="Times New Roman"/>
                <w:sz w:val="23"/>
                <w:szCs w:val="23"/>
              </w:rPr>
            </w:pPr>
          </w:p>
        </w:tc>
        <w:tc>
          <w:tcPr>
            <w:tcW w:w="1221" w:type="pct"/>
          </w:tcPr>
          <w:p w14:paraId="001AA69C" w14:textId="30F4F8C7" w:rsidR="005C188D" w:rsidRPr="007C1EF6" w:rsidRDefault="005C188D" w:rsidP="0042173F">
            <w:pPr>
              <w:ind w:right="238"/>
              <w:jc w:val="both"/>
              <w:rPr>
                <w:sz w:val="23"/>
                <w:szCs w:val="23"/>
              </w:rPr>
            </w:pPr>
            <w:r w:rsidRPr="007C1EF6">
              <w:rPr>
                <w:bCs/>
                <w:iCs/>
                <w:sz w:val="23"/>
                <w:szCs w:val="23"/>
                <w:lang w:val="nl-NL"/>
              </w:rPr>
              <w:t>Bộ Nội vụ</w:t>
            </w:r>
          </w:p>
        </w:tc>
        <w:tc>
          <w:tcPr>
            <w:tcW w:w="1601" w:type="pct"/>
          </w:tcPr>
          <w:p w14:paraId="19764D3F" w14:textId="4D6A580B" w:rsidR="005C188D" w:rsidRPr="007C1EF6" w:rsidRDefault="005C188D" w:rsidP="0042173F">
            <w:pPr>
              <w:ind w:right="31"/>
              <w:jc w:val="both"/>
              <w:rPr>
                <w:rFonts w:eastAsia="MS Mincho"/>
                <w:bCs/>
                <w:sz w:val="23"/>
                <w:szCs w:val="23"/>
                <w:lang w:val="pt-BR"/>
              </w:rPr>
            </w:pPr>
            <w:r w:rsidRPr="007C1EF6">
              <w:rPr>
                <w:sz w:val="23"/>
                <w:szCs w:val="23"/>
                <w:lang w:val="nl-NL"/>
              </w:rPr>
              <w:t>Báo cáo tài chính, các hoạt động liên quan đến quản lý, sử dụng vốn, tài sản nhà nước năm 2024 của Bảo hiểm xã hội Việt Nam); việc giao dự toán, quản lý, sử dụng và quyết toán chi phí quản lý bảo hiểm xã hội, bảo hiểm thất nghiệp theo Nghị quyết số 09/2021/UBTVQH15 ngày 08/12/2021 của Uỷ ban Thường vụ Quốc hội khóa XV</w:t>
            </w:r>
          </w:p>
        </w:tc>
        <w:tc>
          <w:tcPr>
            <w:tcW w:w="1980" w:type="pct"/>
          </w:tcPr>
          <w:p w14:paraId="210ACF3A" w14:textId="77777777" w:rsidR="005C188D" w:rsidRPr="007C1EF6" w:rsidRDefault="005C188D" w:rsidP="0042173F">
            <w:pPr>
              <w:jc w:val="both"/>
              <w:rPr>
                <w:sz w:val="23"/>
                <w:szCs w:val="23"/>
                <w:lang w:val="pt-BR"/>
              </w:rPr>
            </w:pPr>
            <w:r w:rsidRPr="007C1EF6">
              <w:rPr>
                <w:sz w:val="23"/>
                <w:szCs w:val="23"/>
                <w:lang w:val="pt-BR"/>
              </w:rPr>
              <w:t>- Chỉ đạo Cục Việc làm thực hiện điều chỉnh số liệu quyết toán kinh phí chi hoạt động quản lý BHTN theo kết quả tại Báo cáo kiểm toán này.</w:t>
            </w:r>
          </w:p>
          <w:p w14:paraId="6A7E218F" w14:textId="36BCA21D" w:rsidR="005C188D" w:rsidRPr="007C1EF6" w:rsidRDefault="005C188D" w:rsidP="0042173F">
            <w:pPr>
              <w:tabs>
                <w:tab w:val="left" w:leader="dot" w:pos="8900"/>
              </w:tabs>
              <w:ind w:right="68"/>
              <w:jc w:val="both"/>
              <w:rPr>
                <w:sz w:val="23"/>
                <w:szCs w:val="23"/>
                <w:lang w:val="pt-BR"/>
              </w:rPr>
            </w:pPr>
            <w:r w:rsidRPr="007C1EF6">
              <w:rPr>
                <w:sz w:val="23"/>
                <w:szCs w:val="23"/>
                <w:lang w:val="pt-BR"/>
              </w:rPr>
              <w:t>- Thực hiện hoàn trả Quỹ BHTN đối với các khoản kinh phí hết nhiệm vụ chi không đủ điều kiện chuyển nguồn sang năm sau, cụ thể: Cục Việc làm số tiền 6.123.459.792 đồng, Cục An toàn lao động (nay là Cục Việc làm) số tiền 24.365.108.360 đồng.</w:t>
            </w:r>
          </w:p>
        </w:tc>
      </w:tr>
      <w:tr w:rsidR="005C188D" w:rsidRPr="007C1EF6" w14:paraId="148BEEA3" w14:textId="77777777" w:rsidTr="005C188D">
        <w:trPr>
          <w:trHeight w:val="170"/>
          <w:jc w:val="center"/>
        </w:trPr>
        <w:tc>
          <w:tcPr>
            <w:tcW w:w="199" w:type="pct"/>
          </w:tcPr>
          <w:p w14:paraId="532B8A46" w14:textId="77777777" w:rsidR="005C188D" w:rsidRPr="007C1EF6" w:rsidRDefault="005C188D" w:rsidP="0042173F">
            <w:pPr>
              <w:pStyle w:val="ListParagraph"/>
              <w:widowControl w:val="0"/>
              <w:numPr>
                <w:ilvl w:val="0"/>
                <w:numId w:val="13"/>
              </w:numPr>
              <w:spacing w:after="0" w:line="240" w:lineRule="auto"/>
              <w:ind w:left="0" w:firstLine="82"/>
              <w:jc w:val="center"/>
              <w:rPr>
                <w:rFonts w:ascii="Times New Roman" w:hAnsi="Times New Roman"/>
                <w:sz w:val="23"/>
                <w:szCs w:val="23"/>
              </w:rPr>
            </w:pPr>
          </w:p>
        </w:tc>
        <w:tc>
          <w:tcPr>
            <w:tcW w:w="1221" w:type="pct"/>
          </w:tcPr>
          <w:p w14:paraId="48647CA4" w14:textId="16063862" w:rsidR="005C188D" w:rsidRPr="007C1EF6" w:rsidRDefault="005C188D" w:rsidP="0042173F">
            <w:pPr>
              <w:ind w:right="238"/>
              <w:jc w:val="both"/>
              <w:rPr>
                <w:sz w:val="23"/>
                <w:szCs w:val="23"/>
              </w:rPr>
            </w:pPr>
            <w:r w:rsidRPr="007C1EF6">
              <w:rPr>
                <w:sz w:val="23"/>
                <w:szCs w:val="23"/>
                <w:lang w:val="pt-BR"/>
              </w:rPr>
              <w:t>BHXH Bộ Công an</w:t>
            </w:r>
          </w:p>
        </w:tc>
        <w:tc>
          <w:tcPr>
            <w:tcW w:w="1601" w:type="pct"/>
          </w:tcPr>
          <w:p w14:paraId="520E77EB" w14:textId="03C08999" w:rsidR="005C188D" w:rsidRPr="007C1EF6" w:rsidRDefault="005C188D" w:rsidP="0042173F">
            <w:pPr>
              <w:ind w:right="31"/>
              <w:jc w:val="both"/>
              <w:rPr>
                <w:rFonts w:eastAsia="MS Mincho"/>
                <w:bCs/>
                <w:sz w:val="23"/>
                <w:szCs w:val="23"/>
                <w:lang w:val="pt-BR"/>
              </w:rPr>
            </w:pPr>
            <w:r w:rsidRPr="007C1EF6">
              <w:rPr>
                <w:sz w:val="23"/>
                <w:szCs w:val="23"/>
                <w:lang w:val="nl-NL"/>
              </w:rPr>
              <w:t>Báo cáo tài chính, các hoạt động liên quan đến quản lý, sử dụng vốn, tài sản nhà nước năm 2024 của Bảo hiểm xã hội Việt Nam); việc giao dự toán, quản lý, sử dụng và quyết toán chi phí quản lý bảo hiểm xã hội, bảo hiểm thất nghiệp theo Nghị quyết số 09/2021/UBTVQH15 ngày 08/12/2021 của Uỷ ban Thường vụ Quốc hội khóa XV</w:t>
            </w:r>
          </w:p>
        </w:tc>
        <w:tc>
          <w:tcPr>
            <w:tcW w:w="1980" w:type="pct"/>
          </w:tcPr>
          <w:p w14:paraId="101B5222" w14:textId="2F61BAC4" w:rsidR="005C188D" w:rsidRPr="007C1EF6" w:rsidRDefault="005C188D" w:rsidP="0042173F">
            <w:pPr>
              <w:tabs>
                <w:tab w:val="left" w:leader="dot" w:pos="8900"/>
              </w:tabs>
              <w:ind w:right="68"/>
              <w:jc w:val="both"/>
              <w:rPr>
                <w:sz w:val="23"/>
                <w:szCs w:val="23"/>
                <w:lang w:val="pt-BR"/>
              </w:rPr>
            </w:pPr>
            <w:r w:rsidRPr="007C1EF6">
              <w:rPr>
                <w:sz w:val="23"/>
                <w:szCs w:val="23"/>
                <w:lang w:val="pt-BR"/>
              </w:rPr>
              <w:t>Thực hiện chuyển trả nguồn kinh phí về BHXHVN đối với các khoản kinh phí hết nhiệm vụ chi không đủ điều kiện chuyển nguồn sang năm sau số tiền 24.454.560.359 đồng.</w:t>
            </w:r>
          </w:p>
        </w:tc>
      </w:tr>
      <w:tr w:rsidR="005C188D" w:rsidRPr="007C1EF6" w14:paraId="17D672B3" w14:textId="77777777" w:rsidTr="005C188D">
        <w:trPr>
          <w:trHeight w:val="170"/>
          <w:jc w:val="center"/>
        </w:trPr>
        <w:tc>
          <w:tcPr>
            <w:tcW w:w="199" w:type="pct"/>
          </w:tcPr>
          <w:p w14:paraId="574EA8AD" w14:textId="77777777" w:rsidR="005C188D" w:rsidRPr="007C1EF6" w:rsidRDefault="005C188D" w:rsidP="0042173F">
            <w:pPr>
              <w:pStyle w:val="ListParagraph"/>
              <w:widowControl w:val="0"/>
              <w:numPr>
                <w:ilvl w:val="0"/>
                <w:numId w:val="13"/>
              </w:numPr>
              <w:spacing w:after="0" w:line="240" w:lineRule="auto"/>
              <w:ind w:left="0" w:firstLine="82"/>
              <w:jc w:val="center"/>
              <w:rPr>
                <w:rFonts w:ascii="Times New Roman" w:hAnsi="Times New Roman"/>
                <w:sz w:val="23"/>
                <w:szCs w:val="23"/>
              </w:rPr>
            </w:pPr>
          </w:p>
        </w:tc>
        <w:tc>
          <w:tcPr>
            <w:tcW w:w="1221" w:type="pct"/>
          </w:tcPr>
          <w:p w14:paraId="7FA9CDEF" w14:textId="5C220B1A" w:rsidR="005C188D" w:rsidRPr="007C1EF6" w:rsidRDefault="005C188D" w:rsidP="0042173F">
            <w:pPr>
              <w:ind w:right="238"/>
              <w:jc w:val="both"/>
              <w:rPr>
                <w:sz w:val="23"/>
                <w:szCs w:val="23"/>
              </w:rPr>
            </w:pPr>
            <w:r w:rsidRPr="007C1EF6">
              <w:rPr>
                <w:sz w:val="23"/>
                <w:szCs w:val="23"/>
                <w:lang w:val="pt-BR"/>
              </w:rPr>
              <w:t>Bộ Y tế</w:t>
            </w:r>
          </w:p>
        </w:tc>
        <w:tc>
          <w:tcPr>
            <w:tcW w:w="1601" w:type="pct"/>
          </w:tcPr>
          <w:p w14:paraId="304E48E7" w14:textId="0C6B5FC4" w:rsidR="005C188D" w:rsidRPr="007C1EF6" w:rsidRDefault="005C188D" w:rsidP="0042173F">
            <w:pPr>
              <w:ind w:right="31"/>
              <w:jc w:val="both"/>
              <w:rPr>
                <w:rFonts w:eastAsia="MS Mincho"/>
                <w:bCs/>
                <w:sz w:val="23"/>
                <w:szCs w:val="23"/>
                <w:lang w:val="pt-BR"/>
              </w:rPr>
            </w:pPr>
            <w:r w:rsidRPr="007C1EF6">
              <w:rPr>
                <w:sz w:val="23"/>
                <w:szCs w:val="23"/>
                <w:lang w:val="nl-NL"/>
              </w:rPr>
              <w:t>Báo cáo tài chính, các hoạt động liên quan đến quản lý, sử dụng vốn, tài sản nhà nước năm 2024 của Bảo hiểm xã hội Việt Nam); việc giao dự toán, quản lý, sử dụng và quyết toán chi phí quản lý bảo hiểm xã hội, bảo hiểm thất nghiệp theo Nghị quyết số 09/2021/UBTVQH15 ngày 08/12/2021 của Uỷ ban Thường vụ Quốc hội khóa XV</w:t>
            </w:r>
          </w:p>
        </w:tc>
        <w:tc>
          <w:tcPr>
            <w:tcW w:w="1980" w:type="pct"/>
          </w:tcPr>
          <w:p w14:paraId="1A274AC8" w14:textId="77777777" w:rsidR="005C188D" w:rsidRPr="007C1EF6" w:rsidRDefault="005C188D" w:rsidP="0042173F">
            <w:pPr>
              <w:jc w:val="both"/>
              <w:rPr>
                <w:sz w:val="23"/>
                <w:szCs w:val="23"/>
                <w:lang w:val="pt-BR"/>
              </w:rPr>
            </w:pPr>
            <w:r w:rsidRPr="007C1EF6">
              <w:rPr>
                <w:sz w:val="23"/>
                <w:szCs w:val="23"/>
                <w:lang w:val="pt-BR"/>
              </w:rPr>
              <w:t>- Chỉ đạo, kiểm tra các cơ sở khám, chữa bệnh thực hiện ngay việc</w:t>
            </w:r>
            <w:r w:rsidRPr="007C1EF6">
              <w:rPr>
                <w:sz w:val="23"/>
                <w:szCs w:val="23"/>
                <w:lang w:val="vi-VN"/>
              </w:rPr>
              <w:t xml:space="preserve"> </w:t>
            </w:r>
            <w:r w:rsidRPr="007C1EF6">
              <w:rPr>
                <w:sz w:val="23"/>
                <w:szCs w:val="23"/>
                <w:lang w:val="pt-BR"/>
              </w:rPr>
              <w:t>kiểm định đối với các trang thiết bị y tế theo đúng quy định (đặc biệt là các máy thận nhân tạo).</w:t>
            </w:r>
          </w:p>
          <w:p w14:paraId="464FA228" w14:textId="706C9360" w:rsidR="005C188D" w:rsidRPr="007C1EF6" w:rsidRDefault="005C188D" w:rsidP="0042173F">
            <w:pPr>
              <w:tabs>
                <w:tab w:val="left" w:leader="dot" w:pos="8900"/>
              </w:tabs>
              <w:ind w:right="68"/>
              <w:jc w:val="both"/>
              <w:rPr>
                <w:sz w:val="23"/>
                <w:szCs w:val="23"/>
                <w:lang w:val="pt-BR"/>
              </w:rPr>
            </w:pPr>
            <w:r w:rsidRPr="007C1EF6">
              <w:rPr>
                <w:sz w:val="23"/>
                <w:szCs w:val="23"/>
                <w:lang w:val="nl-BE"/>
              </w:rPr>
              <w:t xml:space="preserve">- Chủ trì phối hợp với Bộ Tài chính, BHXHVN và các Bộ, cơ quan liên quan </w:t>
            </w:r>
            <w:r w:rsidRPr="007C1EF6">
              <w:rPr>
                <w:sz w:val="23"/>
                <w:szCs w:val="23"/>
              </w:rPr>
              <w:t>t</w:t>
            </w:r>
            <w:r w:rsidRPr="007C1EF6">
              <w:rPr>
                <w:sz w:val="23"/>
                <w:szCs w:val="23"/>
                <w:lang w:val="vi-VN"/>
              </w:rPr>
              <w:t xml:space="preserve">iếp tục thực hiện theo chỉ đạo của </w:t>
            </w:r>
            <w:r w:rsidRPr="007C1EF6">
              <w:rPr>
                <w:sz w:val="23"/>
                <w:szCs w:val="23"/>
              </w:rPr>
              <w:t>Phó Thủ tướng</w:t>
            </w:r>
            <w:r w:rsidRPr="007C1EF6">
              <w:rPr>
                <w:sz w:val="23"/>
                <w:szCs w:val="23"/>
                <w:lang w:val="vi-VN"/>
              </w:rPr>
              <w:t xml:space="preserve"> Chính </w:t>
            </w:r>
            <w:r w:rsidRPr="007C1EF6">
              <w:rPr>
                <w:sz w:val="23"/>
                <w:szCs w:val="23"/>
              </w:rPr>
              <w:t>p</w:t>
            </w:r>
            <w:r w:rsidRPr="007C1EF6">
              <w:rPr>
                <w:sz w:val="23"/>
                <w:szCs w:val="23"/>
                <w:lang w:val="vi-VN"/>
              </w:rPr>
              <w:t xml:space="preserve">hủ tại </w:t>
            </w:r>
            <w:r w:rsidRPr="007C1EF6">
              <w:rPr>
                <w:bCs/>
                <w:sz w:val="23"/>
                <w:szCs w:val="23"/>
                <w:lang w:val="vi-VN"/>
              </w:rPr>
              <w:t xml:space="preserve">văn bản </w:t>
            </w:r>
            <w:r w:rsidRPr="007C1EF6">
              <w:rPr>
                <w:bCs/>
                <w:sz w:val="23"/>
                <w:szCs w:val="23"/>
                <w:lang w:val="pt-BR"/>
              </w:rPr>
              <w:t>s</w:t>
            </w:r>
            <w:r w:rsidRPr="007C1EF6">
              <w:rPr>
                <w:bCs/>
                <w:sz w:val="23"/>
                <w:szCs w:val="23"/>
                <w:lang w:val="vi-VN"/>
              </w:rPr>
              <w:t>ố</w:t>
            </w:r>
            <w:r w:rsidRPr="007C1EF6">
              <w:rPr>
                <w:bCs/>
                <w:sz w:val="23"/>
                <w:szCs w:val="23"/>
                <w:lang w:val="pt-BR"/>
              </w:rPr>
              <w:t xml:space="preserve"> </w:t>
            </w:r>
            <w:r w:rsidRPr="007C1EF6">
              <w:rPr>
                <w:bCs/>
                <w:sz w:val="23"/>
                <w:szCs w:val="23"/>
                <w:lang w:val="vi-VN"/>
              </w:rPr>
              <w:t xml:space="preserve">7282/VPCP-KGVX ngày 05/8/2025 về việc </w:t>
            </w:r>
            <w:r w:rsidRPr="007C1EF6">
              <w:rPr>
                <w:bCs/>
                <w:sz w:val="23"/>
                <w:szCs w:val="23"/>
                <w:lang w:val="pt-BR"/>
              </w:rPr>
              <w:t>t</w:t>
            </w:r>
            <w:r w:rsidRPr="007C1EF6">
              <w:rPr>
                <w:bCs/>
                <w:sz w:val="23"/>
                <w:szCs w:val="23"/>
                <w:lang w:val="vi-VN"/>
              </w:rPr>
              <w:t xml:space="preserve">riển khai thực hiện Nghị định số 188/2025/NĐ-CP và văn bản </w:t>
            </w:r>
            <w:r w:rsidRPr="007C1EF6">
              <w:rPr>
                <w:bCs/>
                <w:sz w:val="23"/>
                <w:szCs w:val="23"/>
                <w:lang w:val="pt-BR"/>
              </w:rPr>
              <w:t>s</w:t>
            </w:r>
            <w:r w:rsidRPr="007C1EF6">
              <w:rPr>
                <w:bCs/>
                <w:sz w:val="23"/>
                <w:szCs w:val="23"/>
                <w:lang w:val="vi-VN"/>
              </w:rPr>
              <w:t>ố 7901/VPCP-KTTH ngày 23/8/2025 về việc</w:t>
            </w:r>
            <w:r w:rsidRPr="007C1EF6">
              <w:rPr>
                <w:bCs/>
                <w:sz w:val="23"/>
                <w:szCs w:val="23"/>
              </w:rPr>
              <w:t xml:space="preserve"> xây dựng Đề án</w:t>
            </w:r>
            <w:r w:rsidRPr="007C1EF6">
              <w:rPr>
                <w:bCs/>
                <w:sz w:val="23"/>
                <w:szCs w:val="23"/>
                <w:lang w:val="vi-VN"/>
              </w:rPr>
              <w:t xml:space="preserve"> xử lý dứt điểm các khoản chi phí KCB BHYT tồn đọng</w:t>
            </w:r>
          </w:p>
        </w:tc>
      </w:tr>
      <w:tr w:rsidR="005C188D" w:rsidRPr="007C1EF6" w14:paraId="1FA553C3" w14:textId="77777777" w:rsidTr="005C188D">
        <w:trPr>
          <w:trHeight w:val="170"/>
          <w:jc w:val="center"/>
        </w:trPr>
        <w:tc>
          <w:tcPr>
            <w:tcW w:w="199" w:type="pct"/>
          </w:tcPr>
          <w:p w14:paraId="18FAF0F5" w14:textId="77777777" w:rsidR="005C188D" w:rsidRPr="007C1EF6" w:rsidRDefault="005C188D" w:rsidP="0042173F">
            <w:pPr>
              <w:pStyle w:val="ListParagraph"/>
              <w:widowControl w:val="0"/>
              <w:numPr>
                <w:ilvl w:val="0"/>
                <w:numId w:val="13"/>
              </w:numPr>
              <w:spacing w:after="0" w:line="240" w:lineRule="auto"/>
              <w:ind w:left="0" w:firstLine="82"/>
              <w:jc w:val="center"/>
              <w:rPr>
                <w:rFonts w:ascii="Times New Roman" w:hAnsi="Times New Roman"/>
                <w:sz w:val="23"/>
                <w:szCs w:val="23"/>
              </w:rPr>
            </w:pPr>
          </w:p>
        </w:tc>
        <w:tc>
          <w:tcPr>
            <w:tcW w:w="1221" w:type="pct"/>
          </w:tcPr>
          <w:p w14:paraId="6DFA95C2" w14:textId="1C9E33EB" w:rsidR="005C188D" w:rsidRPr="007C1EF6" w:rsidRDefault="005C188D" w:rsidP="0042173F">
            <w:pPr>
              <w:ind w:right="238"/>
              <w:jc w:val="both"/>
              <w:rPr>
                <w:sz w:val="23"/>
                <w:szCs w:val="23"/>
              </w:rPr>
            </w:pPr>
            <w:r w:rsidRPr="007C1EF6">
              <w:rPr>
                <w:sz w:val="23"/>
                <w:szCs w:val="23"/>
                <w:lang w:val="de-DE"/>
              </w:rPr>
              <w:t>UBND tỉnh Đồng Nai</w:t>
            </w:r>
          </w:p>
        </w:tc>
        <w:tc>
          <w:tcPr>
            <w:tcW w:w="1601" w:type="pct"/>
          </w:tcPr>
          <w:p w14:paraId="41501A81" w14:textId="0E45A9FD" w:rsidR="005C188D" w:rsidRPr="007C1EF6" w:rsidRDefault="005C188D" w:rsidP="0042173F">
            <w:pPr>
              <w:ind w:right="31"/>
              <w:jc w:val="both"/>
              <w:rPr>
                <w:rFonts w:eastAsia="MS Mincho"/>
                <w:bCs/>
                <w:sz w:val="23"/>
                <w:szCs w:val="23"/>
                <w:lang w:val="pt-BR"/>
              </w:rPr>
            </w:pPr>
            <w:r w:rsidRPr="007C1EF6">
              <w:rPr>
                <w:rFonts w:eastAsia="MS Mincho"/>
                <w:bCs/>
                <w:sz w:val="23"/>
                <w:szCs w:val="23"/>
                <w:lang w:val="vi-VN"/>
              </w:rPr>
              <w:t>Báo cáo tài chính, các hoạt động liên quan đến quản lý, sử dụng vốn, tài sản nhà nước năm 2024 của Tổng công ty Công nghiệp Thực phẩm Đồng Nai – MTV Công ty TNHH</w:t>
            </w:r>
          </w:p>
        </w:tc>
        <w:tc>
          <w:tcPr>
            <w:tcW w:w="1980" w:type="pct"/>
          </w:tcPr>
          <w:p w14:paraId="77E7F63A" w14:textId="1F167723" w:rsidR="005C188D" w:rsidRPr="007C1EF6" w:rsidRDefault="005C188D" w:rsidP="0042173F">
            <w:pPr>
              <w:jc w:val="both"/>
              <w:rPr>
                <w:rFonts w:eastAsia="MS Mincho"/>
                <w:bCs/>
                <w:sz w:val="23"/>
                <w:szCs w:val="23"/>
                <w:lang w:val="de-DE"/>
              </w:rPr>
            </w:pPr>
            <w:r w:rsidRPr="007C1EF6">
              <w:rPr>
                <w:rFonts w:eastAsia="MS Mincho"/>
                <w:bCs/>
                <w:sz w:val="23"/>
                <w:szCs w:val="23"/>
                <w:lang w:val="de-DE"/>
              </w:rPr>
              <w:t>- Ban hành các quyết định thu hồi đất của 12 cơ sở nhà đất theo phương án xử lý lại, sắp xếp tài sản công được UBND tỉnh Đồng Nai phê duyệt tại Quyết định số 2833/QĐ-UBND ngày 20/8/2021. Đồng thời, làm rõ nguyên nhân và kiểm điểm trách nhiệm của tập thể, cá nhân (nếu có) liên quan đến việc chậm trễ ban hành quyết định thu hồi đất, dẫn đến 9 khu đất bỏ trống, không được sử dụng, gây lãng phí trong quản lý, sử dụng đất.</w:t>
            </w:r>
          </w:p>
          <w:p w14:paraId="18DE1771" w14:textId="77777777" w:rsidR="005C188D" w:rsidRPr="007C1EF6" w:rsidRDefault="005C188D" w:rsidP="0042173F">
            <w:pPr>
              <w:jc w:val="both"/>
              <w:rPr>
                <w:sz w:val="23"/>
                <w:szCs w:val="23"/>
                <w:lang w:val="nl-NL"/>
              </w:rPr>
            </w:pPr>
            <w:r w:rsidRPr="007C1EF6">
              <w:rPr>
                <w:sz w:val="23"/>
                <w:szCs w:val="23"/>
              </w:rPr>
              <w:lastRenderedPageBreak/>
              <w:t xml:space="preserve">- </w:t>
            </w:r>
            <w:r w:rsidRPr="007C1EF6">
              <w:rPr>
                <w:sz w:val="23"/>
                <w:szCs w:val="23"/>
                <w:lang w:val="de-DE"/>
              </w:rPr>
              <w:t xml:space="preserve">Tổ chức kiểm tra làm rõ dấu hiệu lãng phí trong đầu tư, triển khai thực hiện Dự án Khu liên hợp công nông nghiệp Dofico của Tổng công ty Công nghiệp thực phẩm Đồng Nai để xem xét xử lý trách nhiệm tập thể, cá nhân có liên quan </w:t>
            </w:r>
            <w:r w:rsidRPr="007C1EF6">
              <w:rPr>
                <w:i/>
                <w:sz w:val="23"/>
                <w:szCs w:val="23"/>
                <w:lang w:val="de-DE"/>
              </w:rPr>
              <w:t>(nếu có lãng phí)</w:t>
            </w:r>
            <w:r w:rsidRPr="007C1EF6">
              <w:rPr>
                <w:sz w:val="23"/>
                <w:szCs w:val="23"/>
                <w:lang w:val="de-DE"/>
              </w:rPr>
              <w:t xml:space="preserve"> và có biện pháp khắc phục kịp thời, ngăn ngừa lãng phí: (i) </w:t>
            </w:r>
            <w:r w:rsidRPr="007C1EF6">
              <w:rPr>
                <w:sz w:val="23"/>
                <w:szCs w:val="23"/>
                <w:lang w:val="nl-NL"/>
              </w:rPr>
              <w:t xml:space="preserve">Dự án đầu tư hạ tầng kỹ thuật phân khu trồng trọt, chăn nuôi tập trung (phân khu 3B) và Dự án đầu tư hạ tầng kỹ thuật phân khu trồng trọt, chế biến thực phẩm (phân khu 3C) thuộc </w:t>
            </w:r>
            <w:r w:rsidRPr="007C1EF6">
              <w:rPr>
                <w:sz w:val="23"/>
                <w:szCs w:val="23"/>
                <w:lang w:val="de-DE"/>
              </w:rPr>
              <w:t xml:space="preserve">Khu liên hợp công nông nghiệp Dofico: </w:t>
            </w:r>
            <w:r w:rsidRPr="007C1EF6">
              <w:rPr>
                <w:iCs/>
                <w:sz w:val="23"/>
                <w:szCs w:val="23"/>
                <w:lang w:val="nl-NL"/>
              </w:rPr>
              <w:t>chậm tiến độ so với thời hạn trong Giấy chứng nhận đầu tư; dự án đã chấm dứt và đã bàn giao cho Nhà nước đất đã giải phóng mặt bằng; chi phí đã đầu tư vào dự án đến nay chưa có phương án xử lý 76 tỷ đồng</w:t>
            </w:r>
            <w:r w:rsidRPr="007C1EF6">
              <w:rPr>
                <w:sz w:val="23"/>
                <w:szCs w:val="23"/>
                <w:lang w:val="de-DE"/>
              </w:rPr>
              <w:t xml:space="preserve">; (ii) </w:t>
            </w:r>
            <w:r w:rsidRPr="007C1EF6">
              <w:rPr>
                <w:sz w:val="23"/>
                <w:szCs w:val="23"/>
                <w:lang w:val="nl-NL"/>
              </w:rPr>
              <w:t xml:space="preserve">Dự án </w:t>
            </w:r>
            <w:r w:rsidRPr="007C1EF6">
              <w:rPr>
                <w:sz w:val="23"/>
                <w:szCs w:val="23"/>
                <w:lang w:val="de-DE"/>
              </w:rPr>
              <w:t>Khu nông nghiệp ứng dụng kỹ thuật cao Thọ Vực (</w:t>
            </w:r>
            <w:r w:rsidRPr="007C1EF6">
              <w:rPr>
                <w:sz w:val="23"/>
                <w:szCs w:val="23"/>
                <w:lang w:val="nl-NL"/>
              </w:rPr>
              <w:t>phân khu</w:t>
            </w:r>
            <w:r w:rsidRPr="007C1EF6">
              <w:rPr>
                <w:sz w:val="23"/>
                <w:szCs w:val="23"/>
                <w:lang w:val="de-DE"/>
              </w:rPr>
              <w:t xml:space="preserve"> 3D </w:t>
            </w:r>
            <w:r w:rsidRPr="007C1EF6">
              <w:rPr>
                <w:sz w:val="23"/>
                <w:szCs w:val="23"/>
                <w:lang w:val="nl-NL"/>
              </w:rPr>
              <w:t xml:space="preserve">thuộc </w:t>
            </w:r>
            <w:r w:rsidRPr="007C1EF6">
              <w:rPr>
                <w:sz w:val="23"/>
                <w:szCs w:val="23"/>
                <w:lang w:val="de-DE"/>
              </w:rPr>
              <w:t xml:space="preserve">Khu liên hợp công nông nghiệp Dofico): </w:t>
            </w:r>
            <w:r w:rsidRPr="007C1EF6">
              <w:rPr>
                <w:iCs/>
                <w:sz w:val="23"/>
                <w:szCs w:val="23"/>
                <w:lang w:val="nl-NL"/>
              </w:rPr>
              <w:t>Dự án chậm tiến độ quá 3 năm, chậm đưa 84,2 ha đất vào sử dụng theo quyết định cho thuê đất theo khoản 3 Điều 53 Luật Thực hành tiết kiệm, chống lãng phí số 44/2013/QH13 ngày 26/11/2013</w:t>
            </w:r>
            <w:r w:rsidRPr="007C1EF6">
              <w:rPr>
                <w:sz w:val="23"/>
                <w:szCs w:val="23"/>
                <w:lang w:val="nl-NL"/>
              </w:rPr>
              <w:t>)</w:t>
            </w:r>
            <w:r w:rsidRPr="007C1EF6">
              <w:rPr>
                <w:sz w:val="23"/>
                <w:szCs w:val="23"/>
                <w:lang w:val="de-DE"/>
              </w:rPr>
              <w:t xml:space="preserve">. </w:t>
            </w:r>
            <w:r w:rsidRPr="007C1EF6">
              <w:rPr>
                <w:sz w:val="23"/>
                <w:szCs w:val="23"/>
                <w:lang w:val="nl-NL"/>
              </w:rPr>
              <w:t>Đồng thời kiểm tra, làm rõ tiến độ, thời hạn thực hiện dự án khu 3D để xử lý theo theo quy định pháp luật.</w:t>
            </w:r>
          </w:p>
          <w:p w14:paraId="1B361402" w14:textId="77777777" w:rsidR="005C188D" w:rsidRPr="007C1EF6" w:rsidRDefault="005C188D" w:rsidP="0042173F">
            <w:pPr>
              <w:jc w:val="both"/>
              <w:rPr>
                <w:i/>
                <w:sz w:val="23"/>
                <w:szCs w:val="23"/>
                <w:lang w:val="de-DE"/>
              </w:rPr>
            </w:pPr>
            <w:r w:rsidRPr="007C1EF6">
              <w:rPr>
                <w:sz w:val="23"/>
                <w:szCs w:val="23"/>
              </w:rPr>
              <w:t xml:space="preserve">- </w:t>
            </w:r>
            <w:r w:rsidRPr="007C1EF6">
              <w:rPr>
                <w:sz w:val="23"/>
                <w:szCs w:val="23"/>
                <w:lang w:val="de-DE"/>
              </w:rPr>
              <w:t>Chỉ đạo cơ quan chức năng liên quan kiểm tra, xử lý theo quy định đối với các khu đất đang được Công ty Cổ phần Nông súc sản Đồng Nai quản lý, sử dụng: (i) Các lô đất tổng diện tích 19.794,1 m² đã hết hạn sử dụng đất năm 2020 nhưng chưa được gia hạn theo quy định tại khoản 2 Điều 258 Luật Đất đai năm 2024 và khoản 5 Điều 112 Nghị định 102/2024/NĐ-CP; (ii) 03 lô đất với tổng diện tích 82.234,4 m2 đã hết thời hạn sử dụng đất từ tháng 3 năm 2025 nhưng Công ty nộp hồ sơ đề nghị gia hạn chậm so với quy định tại khoản 3 Điều 172 Luật Đất đai năm 2024</w:t>
            </w:r>
            <w:r w:rsidRPr="007C1EF6">
              <w:rPr>
                <w:i/>
                <w:sz w:val="23"/>
                <w:szCs w:val="23"/>
                <w:lang w:val="de-DE"/>
              </w:rPr>
              <w:t>.</w:t>
            </w:r>
          </w:p>
          <w:p w14:paraId="39159769" w14:textId="04AA4EEC" w:rsidR="005C188D" w:rsidRPr="007C1EF6" w:rsidRDefault="005C188D" w:rsidP="0042173F">
            <w:pPr>
              <w:tabs>
                <w:tab w:val="left" w:leader="dot" w:pos="8900"/>
              </w:tabs>
              <w:ind w:right="68"/>
              <w:jc w:val="both"/>
              <w:rPr>
                <w:sz w:val="23"/>
                <w:szCs w:val="23"/>
                <w:lang w:val="pt-BR"/>
              </w:rPr>
            </w:pPr>
            <w:r w:rsidRPr="007C1EF6">
              <w:rPr>
                <w:sz w:val="23"/>
                <w:szCs w:val="23"/>
              </w:rPr>
              <w:t xml:space="preserve">- </w:t>
            </w:r>
            <w:r w:rsidRPr="007C1EF6">
              <w:rPr>
                <w:sz w:val="23"/>
                <w:szCs w:val="23"/>
                <w:lang w:val="de-DE"/>
              </w:rPr>
              <w:t xml:space="preserve">Chỉ đạo cơ quan chức năng tổ chức thu hồi, bàn giao trên thực địa cơ sở nhà, đất tại số 101/505, Phạm Văn Thuận, phường Tân Mai, Biên Hòa (diện tích đất 303,10 m2, diện tích nhà 2.015,00 m2) (nay là phường Tam Hiệp, tỉnh Đồng Nai). Đồng thời, tổ chức kiểm tra, làm rõ nguyên nhân và xem xét xử lý trách nhiệm của tập thể, cá nhân liên quan </w:t>
            </w:r>
            <w:r w:rsidRPr="007C1EF6">
              <w:rPr>
                <w:sz w:val="23"/>
                <w:szCs w:val="23"/>
                <w:lang w:val="de-DE"/>
              </w:rPr>
              <w:lastRenderedPageBreak/>
              <w:t>đến việc chậm trễ thực hiện các thủ tục bàn giao cho Nhà nước cơ sở nhà đất đã có quyết định thu hồi đất (nếu có).</w:t>
            </w:r>
          </w:p>
        </w:tc>
      </w:tr>
      <w:tr w:rsidR="005C188D" w:rsidRPr="007C1EF6" w14:paraId="71D44691" w14:textId="77777777" w:rsidTr="005C188D">
        <w:trPr>
          <w:trHeight w:val="170"/>
          <w:jc w:val="center"/>
        </w:trPr>
        <w:tc>
          <w:tcPr>
            <w:tcW w:w="199" w:type="pct"/>
          </w:tcPr>
          <w:p w14:paraId="248B25FA" w14:textId="77777777" w:rsidR="005C188D" w:rsidRPr="007C1EF6" w:rsidRDefault="005C188D" w:rsidP="0042173F">
            <w:pPr>
              <w:pStyle w:val="ListParagraph"/>
              <w:widowControl w:val="0"/>
              <w:numPr>
                <w:ilvl w:val="0"/>
                <w:numId w:val="13"/>
              </w:numPr>
              <w:spacing w:after="0" w:line="240" w:lineRule="auto"/>
              <w:ind w:left="0" w:firstLine="82"/>
              <w:jc w:val="center"/>
              <w:rPr>
                <w:rFonts w:ascii="Times New Roman" w:hAnsi="Times New Roman"/>
                <w:sz w:val="23"/>
                <w:szCs w:val="23"/>
              </w:rPr>
            </w:pPr>
          </w:p>
        </w:tc>
        <w:tc>
          <w:tcPr>
            <w:tcW w:w="1221" w:type="pct"/>
          </w:tcPr>
          <w:p w14:paraId="093C9BE6" w14:textId="251F36EB" w:rsidR="005C188D" w:rsidRPr="007C1EF6" w:rsidRDefault="005C188D" w:rsidP="0042173F">
            <w:pPr>
              <w:ind w:right="238"/>
              <w:jc w:val="both"/>
              <w:rPr>
                <w:sz w:val="23"/>
                <w:szCs w:val="23"/>
              </w:rPr>
            </w:pPr>
            <w:r w:rsidRPr="007C1EF6">
              <w:rPr>
                <w:sz w:val="23"/>
                <w:szCs w:val="23"/>
              </w:rPr>
              <w:t>Bộ Tài chính</w:t>
            </w:r>
          </w:p>
        </w:tc>
        <w:tc>
          <w:tcPr>
            <w:tcW w:w="1601" w:type="pct"/>
          </w:tcPr>
          <w:p w14:paraId="7535833E" w14:textId="3BE549F7" w:rsidR="005C188D" w:rsidRPr="007C1EF6" w:rsidRDefault="005C188D" w:rsidP="0042173F">
            <w:pPr>
              <w:ind w:right="31"/>
              <w:jc w:val="both"/>
              <w:rPr>
                <w:rFonts w:eastAsia="MS Mincho"/>
                <w:bCs/>
                <w:sz w:val="23"/>
                <w:szCs w:val="23"/>
                <w:lang w:val="pt-BR"/>
              </w:rPr>
            </w:pPr>
            <w:r w:rsidRPr="007C1EF6">
              <w:rPr>
                <w:rFonts w:eastAsia="MS Mincho"/>
                <w:bCs/>
                <w:sz w:val="23"/>
                <w:szCs w:val="23"/>
                <w:lang w:val="nl-NL"/>
              </w:rPr>
              <w:t>Báo cáo tài chính, các hoạt động liên quan đến quản lý, sử dụng vốn, tài sản nhà nước năm 2024 của Ngân hàng Chính sách xã hội</w:t>
            </w:r>
          </w:p>
        </w:tc>
        <w:tc>
          <w:tcPr>
            <w:tcW w:w="1980" w:type="pct"/>
          </w:tcPr>
          <w:p w14:paraId="177F0728" w14:textId="77777777" w:rsidR="005C188D" w:rsidRPr="007C1EF6" w:rsidRDefault="005C188D" w:rsidP="0042173F">
            <w:pPr>
              <w:jc w:val="both"/>
              <w:rPr>
                <w:bCs/>
                <w:sz w:val="23"/>
                <w:szCs w:val="23"/>
                <w:lang w:val="nl-NL"/>
              </w:rPr>
            </w:pPr>
            <w:r w:rsidRPr="007C1EF6">
              <w:rPr>
                <w:bCs/>
                <w:sz w:val="23"/>
                <w:szCs w:val="23"/>
                <w:lang w:val="nl-NL"/>
              </w:rPr>
              <w:t xml:space="preserve">- </w:t>
            </w:r>
            <w:bookmarkStart w:id="2" w:name="_Hlk206067470"/>
            <w:r w:rsidRPr="007C1EF6">
              <w:rPr>
                <w:bCs/>
                <w:sz w:val="23"/>
                <w:szCs w:val="23"/>
                <w:lang w:val="nl-NL"/>
              </w:rPr>
              <w:t xml:space="preserve">Sớm đánh giá hiệu quả hoạt động của NHCSXH làm cơ sở rà soát, đánh giá để có các cơ chế chính sách và quy định </w:t>
            </w:r>
            <w:bookmarkEnd w:id="2"/>
            <w:r w:rsidRPr="007C1EF6">
              <w:rPr>
                <w:bCs/>
                <w:sz w:val="23"/>
                <w:szCs w:val="23"/>
                <w:lang w:val="nl-NL"/>
              </w:rPr>
              <w:t xml:space="preserve">về hạch toán các khoản lãi cho vay, phân loại nợ phù hợp với thông lệ tổ chức tín dụng và đặc thù của NHCSXH nhằm phản ánh đầy đủ rủi ro tín dụng, thực hiện đầy đủ nguyên tắc hạch toán dồn tích theo quy định nhằm ghi nhận đầy đủ thu nhập, chi phí phát sinh. </w:t>
            </w:r>
          </w:p>
          <w:p w14:paraId="20F8E6AC" w14:textId="7F423D74" w:rsidR="005C188D" w:rsidRPr="007C1EF6" w:rsidRDefault="005C188D" w:rsidP="0042173F">
            <w:pPr>
              <w:tabs>
                <w:tab w:val="left" w:leader="dot" w:pos="8900"/>
              </w:tabs>
              <w:ind w:right="68"/>
              <w:jc w:val="both"/>
              <w:rPr>
                <w:sz w:val="23"/>
                <w:szCs w:val="23"/>
                <w:lang w:val="pt-BR"/>
              </w:rPr>
            </w:pPr>
            <w:r w:rsidRPr="007C1EF6">
              <w:rPr>
                <w:sz w:val="23"/>
                <w:szCs w:val="23"/>
              </w:rPr>
              <w:t>- Tiếp tục duy trì cơ chế cấp bù lãi suất ổn định nhằm đảm bảo đúng bản chất hoạt động không vì mục tiêu lợi nhuận của NHCSXH để hỗ trợ người nghèo và các đối tượng chính sách</w:t>
            </w:r>
          </w:p>
        </w:tc>
      </w:tr>
      <w:tr w:rsidR="005C188D" w:rsidRPr="007C1EF6" w14:paraId="33E632F2" w14:textId="77777777" w:rsidTr="005C188D">
        <w:trPr>
          <w:trHeight w:val="170"/>
          <w:jc w:val="center"/>
        </w:trPr>
        <w:tc>
          <w:tcPr>
            <w:tcW w:w="199" w:type="pct"/>
          </w:tcPr>
          <w:p w14:paraId="77A40B81" w14:textId="77777777" w:rsidR="005C188D" w:rsidRPr="007C1EF6" w:rsidRDefault="005C188D" w:rsidP="0042173F">
            <w:pPr>
              <w:pStyle w:val="ListParagraph"/>
              <w:widowControl w:val="0"/>
              <w:numPr>
                <w:ilvl w:val="0"/>
                <w:numId w:val="13"/>
              </w:numPr>
              <w:spacing w:after="0" w:line="240" w:lineRule="auto"/>
              <w:ind w:left="0" w:firstLine="82"/>
              <w:jc w:val="center"/>
              <w:rPr>
                <w:rFonts w:ascii="Times New Roman" w:hAnsi="Times New Roman"/>
                <w:sz w:val="23"/>
                <w:szCs w:val="23"/>
              </w:rPr>
            </w:pPr>
          </w:p>
        </w:tc>
        <w:tc>
          <w:tcPr>
            <w:tcW w:w="1221" w:type="pct"/>
          </w:tcPr>
          <w:p w14:paraId="6B5A442E" w14:textId="4C0568CA" w:rsidR="005C188D" w:rsidRPr="007C1EF6" w:rsidRDefault="005C188D" w:rsidP="0042173F">
            <w:pPr>
              <w:ind w:right="238"/>
              <w:jc w:val="both"/>
              <w:rPr>
                <w:sz w:val="23"/>
                <w:szCs w:val="23"/>
              </w:rPr>
            </w:pPr>
            <w:r w:rsidRPr="007C1EF6">
              <w:rPr>
                <w:sz w:val="23"/>
                <w:szCs w:val="23"/>
              </w:rPr>
              <w:t xml:space="preserve">Ngân hàng </w:t>
            </w:r>
            <w:r w:rsidRPr="007C1EF6">
              <w:rPr>
                <w:sz w:val="23"/>
                <w:szCs w:val="23"/>
                <w:lang w:val="nl-NL"/>
              </w:rPr>
              <w:t>Nhà nước Việt Nam</w:t>
            </w:r>
          </w:p>
        </w:tc>
        <w:tc>
          <w:tcPr>
            <w:tcW w:w="1601" w:type="pct"/>
          </w:tcPr>
          <w:p w14:paraId="00F67D58" w14:textId="665350CF" w:rsidR="005C188D" w:rsidRPr="007C1EF6" w:rsidRDefault="005C188D" w:rsidP="0042173F">
            <w:pPr>
              <w:ind w:right="31"/>
              <w:jc w:val="both"/>
              <w:rPr>
                <w:rFonts w:eastAsia="MS Mincho"/>
                <w:bCs/>
                <w:sz w:val="23"/>
                <w:szCs w:val="23"/>
                <w:lang w:val="pt-BR"/>
              </w:rPr>
            </w:pPr>
            <w:r w:rsidRPr="007C1EF6">
              <w:rPr>
                <w:rFonts w:eastAsia="MS Mincho"/>
                <w:bCs/>
                <w:sz w:val="23"/>
                <w:szCs w:val="23"/>
                <w:lang w:val="nl-NL"/>
              </w:rPr>
              <w:t>Báo cáo tài chính, các hoạt động liên quan đến quản lý, sử dụng vốn, tài sản nhà nước năm 2024 của Ngân hàng Chính sách xã hội</w:t>
            </w:r>
          </w:p>
        </w:tc>
        <w:tc>
          <w:tcPr>
            <w:tcW w:w="1980" w:type="pct"/>
          </w:tcPr>
          <w:p w14:paraId="0B334A5A" w14:textId="24F8F78C" w:rsidR="005C188D" w:rsidRPr="007C1EF6" w:rsidRDefault="005C188D" w:rsidP="0042173F">
            <w:pPr>
              <w:tabs>
                <w:tab w:val="left" w:leader="dot" w:pos="8900"/>
              </w:tabs>
              <w:ind w:right="68"/>
              <w:jc w:val="both"/>
              <w:rPr>
                <w:sz w:val="23"/>
                <w:szCs w:val="23"/>
                <w:lang w:val="pt-BR"/>
              </w:rPr>
            </w:pPr>
            <w:r w:rsidRPr="007C1EF6">
              <w:rPr>
                <w:sz w:val="23"/>
                <w:szCs w:val="23"/>
                <w:lang w:val="nl-NL"/>
              </w:rPr>
              <w:t>Nghiên cứu, hướng dẫn NHCSXH xây dựng hệ thống phân loại nợ phù hợp với thông lệ tổ chức tín dụng và đặc thù của NHCSXH nhằm phản ánh đầy đủ rủi ro tín dụng khi Nghị định về cơ chế tài chính và đánh giá hiệu quả hoạt động của NHCSXH có hiệu lực.</w:t>
            </w:r>
          </w:p>
        </w:tc>
      </w:tr>
      <w:tr w:rsidR="005C188D" w:rsidRPr="007C1EF6" w14:paraId="6A6B3EF1" w14:textId="77777777" w:rsidTr="005C188D">
        <w:trPr>
          <w:trHeight w:val="170"/>
          <w:jc w:val="center"/>
        </w:trPr>
        <w:tc>
          <w:tcPr>
            <w:tcW w:w="199" w:type="pct"/>
          </w:tcPr>
          <w:p w14:paraId="213D4056" w14:textId="77777777" w:rsidR="005C188D" w:rsidRPr="007C1EF6" w:rsidRDefault="005C188D" w:rsidP="0042173F">
            <w:pPr>
              <w:pStyle w:val="ListParagraph"/>
              <w:widowControl w:val="0"/>
              <w:numPr>
                <w:ilvl w:val="0"/>
                <w:numId w:val="13"/>
              </w:numPr>
              <w:spacing w:after="0" w:line="240" w:lineRule="auto"/>
              <w:ind w:left="0" w:firstLine="82"/>
              <w:jc w:val="center"/>
              <w:rPr>
                <w:rFonts w:ascii="Times New Roman" w:hAnsi="Times New Roman"/>
                <w:sz w:val="23"/>
                <w:szCs w:val="23"/>
              </w:rPr>
            </w:pPr>
          </w:p>
        </w:tc>
        <w:tc>
          <w:tcPr>
            <w:tcW w:w="1221" w:type="pct"/>
          </w:tcPr>
          <w:p w14:paraId="45D9F597" w14:textId="17631E5F" w:rsidR="005C188D" w:rsidRPr="007C1EF6" w:rsidRDefault="005C188D" w:rsidP="0042173F">
            <w:pPr>
              <w:ind w:right="238"/>
              <w:jc w:val="both"/>
              <w:rPr>
                <w:sz w:val="23"/>
                <w:szCs w:val="23"/>
              </w:rPr>
            </w:pPr>
            <w:r w:rsidRPr="007C1EF6">
              <w:rPr>
                <w:bCs/>
                <w:sz w:val="23"/>
                <w:szCs w:val="23"/>
                <w:lang w:val="pt-BR"/>
              </w:rPr>
              <w:t>Bộ Tài chính</w:t>
            </w:r>
          </w:p>
        </w:tc>
        <w:tc>
          <w:tcPr>
            <w:tcW w:w="1601" w:type="pct"/>
          </w:tcPr>
          <w:p w14:paraId="55AF6D3B" w14:textId="0AD0B36C" w:rsidR="005C188D" w:rsidRPr="007C1EF6" w:rsidRDefault="005C188D" w:rsidP="0042173F">
            <w:pPr>
              <w:ind w:right="31"/>
              <w:jc w:val="both"/>
              <w:rPr>
                <w:rFonts w:eastAsia="MS Mincho"/>
                <w:bCs/>
                <w:sz w:val="23"/>
                <w:szCs w:val="23"/>
                <w:lang w:val="pt-BR"/>
              </w:rPr>
            </w:pPr>
            <w:r w:rsidRPr="007C1EF6">
              <w:rPr>
                <w:rFonts w:eastAsia="MS Mincho"/>
                <w:bCs/>
                <w:sz w:val="23"/>
                <w:szCs w:val="23"/>
              </w:rPr>
              <w:t>K</w:t>
            </w:r>
            <w:r w:rsidRPr="007C1EF6">
              <w:rPr>
                <w:rFonts w:eastAsia="MS Mincho"/>
                <w:bCs/>
                <w:sz w:val="23"/>
                <w:szCs w:val="23"/>
                <w:lang w:val="vi-VN"/>
              </w:rPr>
              <w:t>ết quả quyết toán giá trị phần vốn nhà nước tại thời điểm chính thức chuyển thành công ty cổ phần của Công ty mẹ - Tổng công ty Phát điện 2</w:t>
            </w:r>
          </w:p>
        </w:tc>
        <w:tc>
          <w:tcPr>
            <w:tcW w:w="1980" w:type="pct"/>
          </w:tcPr>
          <w:p w14:paraId="45FE664C" w14:textId="600F1557" w:rsidR="005C188D" w:rsidRPr="007C1EF6" w:rsidRDefault="005C188D" w:rsidP="0042173F">
            <w:pPr>
              <w:tabs>
                <w:tab w:val="left" w:leader="dot" w:pos="8900"/>
              </w:tabs>
              <w:ind w:right="68"/>
              <w:jc w:val="both"/>
              <w:rPr>
                <w:sz w:val="23"/>
                <w:szCs w:val="23"/>
                <w:lang w:val="pt-BR"/>
              </w:rPr>
            </w:pPr>
            <w:bookmarkStart w:id="3" w:name="_Hlk214285905"/>
            <w:bookmarkStart w:id="4" w:name="_Hlk214276871"/>
            <w:r w:rsidRPr="007C1EF6">
              <w:rPr>
                <w:bCs/>
                <w:sz w:val="23"/>
                <w:szCs w:val="23"/>
                <w:lang w:val="pt-BR"/>
              </w:rPr>
              <w:t>Phối hợp với EVN và các cơ quan liên quan kiểm tra, hướng dẫn nhằm giải quyết dứt điểm các tồn tại</w:t>
            </w:r>
            <w:r w:rsidRPr="007C1EF6">
              <w:rPr>
                <w:sz w:val="23"/>
                <w:szCs w:val="23"/>
                <w:lang w:val="es-MX"/>
              </w:rPr>
              <w:t xml:space="preserve">, </w:t>
            </w:r>
            <w:r w:rsidRPr="007C1EF6">
              <w:rPr>
                <w:bCs/>
                <w:sz w:val="23"/>
                <w:szCs w:val="23"/>
                <w:lang w:val="it-IT"/>
              </w:rPr>
              <w:t>vấn đề cần lưu ý</w:t>
            </w:r>
            <w:r w:rsidRPr="007C1EF6">
              <w:rPr>
                <w:sz w:val="23"/>
                <w:szCs w:val="23"/>
                <w:lang w:val="es-MX"/>
              </w:rPr>
              <w:t xml:space="preserve"> trong quá trình xử lý tài chính, quyết toán cổ phần hóa Công ty mẹ EVNGENCO2 </w:t>
            </w:r>
            <w:r w:rsidRPr="007C1EF6">
              <w:rPr>
                <w:sz w:val="23"/>
                <w:szCs w:val="23"/>
                <w:lang w:val="it-IT"/>
              </w:rPr>
              <w:t>- CTCP</w:t>
            </w:r>
            <w:r w:rsidRPr="007C1EF6">
              <w:rPr>
                <w:sz w:val="23"/>
                <w:szCs w:val="23"/>
                <w:lang w:val="es-MX"/>
              </w:rPr>
              <w:t xml:space="preserve"> đã nêu tại Báo cáo kiểm toán này; </w:t>
            </w:r>
            <w:r w:rsidRPr="007C1EF6">
              <w:rPr>
                <w:bCs/>
                <w:sz w:val="23"/>
                <w:szCs w:val="23"/>
                <w:lang w:val="pt-BR"/>
              </w:rPr>
              <w:t xml:space="preserve">xem xét phê duyệt </w:t>
            </w:r>
            <w:r w:rsidRPr="007C1EF6">
              <w:rPr>
                <w:sz w:val="23"/>
                <w:szCs w:val="23"/>
                <w:lang w:val="it-IT"/>
              </w:rPr>
              <w:t xml:space="preserve">hồ sơ quyết toán vốn </w:t>
            </w:r>
            <w:bookmarkEnd w:id="3"/>
            <w:r w:rsidRPr="007C1EF6">
              <w:rPr>
                <w:sz w:val="23"/>
                <w:szCs w:val="23"/>
                <w:lang w:val="it-IT"/>
              </w:rPr>
              <w:t>khi cổ phần hóa Công ty mẹ EVNGENCO2 - CTCP</w:t>
            </w:r>
            <w:r w:rsidRPr="007C1EF6">
              <w:rPr>
                <w:bCs/>
                <w:sz w:val="23"/>
                <w:szCs w:val="23"/>
                <w:lang w:val="it-IT"/>
              </w:rPr>
              <w:t xml:space="preserve"> </w:t>
            </w:r>
            <w:r w:rsidRPr="007C1EF6">
              <w:rPr>
                <w:bCs/>
                <w:sz w:val="23"/>
                <w:szCs w:val="23"/>
                <w:lang w:val="pt-BR"/>
              </w:rPr>
              <w:t xml:space="preserve">và quyết định công bố giá trị thực tế phần vốn nhà nước tại thời điểm </w:t>
            </w:r>
            <w:r w:rsidRPr="007C1EF6">
              <w:rPr>
                <w:sz w:val="23"/>
                <w:szCs w:val="23"/>
                <w:lang w:val="it-IT"/>
              </w:rPr>
              <w:t xml:space="preserve">Công ty mẹ </w:t>
            </w:r>
            <w:r w:rsidRPr="007C1EF6">
              <w:rPr>
                <w:sz w:val="23"/>
                <w:szCs w:val="23"/>
                <w:lang w:val="es-MX"/>
              </w:rPr>
              <w:t xml:space="preserve">EVNGENCO2 </w:t>
            </w:r>
            <w:r w:rsidRPr="007C1EF6">
              <w:rPr>
                <w:sz w:val="23"/>
                <w:szCs w:val="23"/>
                <w:lang w:val="it-IT"/>
              </w:rPr>
              <w:t>- CTCP</w:t>
            </w:r>
            <w:r w:rsidRPr="007C1EF6">
              <w:rPr>
                <w:sz w:val="23"/>
                <w:szCs w:val="23"/>
                <w:lang w:val="es-MX"/>
              </w:rPr>
              <w:t xml:space="preserve"> </w:t>
            </w:r>
            <w:r w:rsidRPr="007C1EF6">
              <w:rPr>
                <w:bCs/>
                <w:sz w:val="23"/>
                <w:szCs w:val="23"/>
                <w:lang w:val="pt-BR"/>
              </w:rPr>
              <w:t xml:space="preserve">chính thức chuyển thành công ty cổ phần theo quy định của pháp luật. Trường hợp không thuộc thẩm quyền, Bộ Tài chính báo cáo hoặc phối hợp với cấp có thẩm quyền xem xét, xử lý </w:t>
            </w:r>
            <w:r w:rsidRPr="007C1EF6">
              <w:rPr>
                <w:sz w:val="23"/>
                <w:szCs w:val="23"/>
                <w:lang w:val="es-MX"/>
              </w:rPr>
              <w:t>theo đúng quy định của pháp luật.</w:t>
            </w:r>
            <w:bookmarkEnd w:id="4"/>
          </w:p>
        </w:tc>
      </w:tr>
      <w:tr w:rsidR="005C188D" w:rsidRPr="007C1EF6" w14:paraId="65B322B4" w14:textId="77777777" w:rsidTr="005C188D">
        <w:trPr>
          <w:trHeight w:val="170"/>
          <w:jc w:val="center"/>
        </w:trPr>
        <w:tc>
          <w:tcPr>
            <w:tcW w:w="199" w:type="pct"/>
          </w:tcPr>
          <w:p w14:paraId="2F5A8ACE" w14:textId="77777777" w:rsidR="005C188D" w:rsidRPr="007C1EF6" w:rsidRDefault="005C188D" w:rsidP="0042173F">
            <w:pPr>
              <w:pStyle w:val="ListParagraph"/>
              <w:widowControl w:val="0"/>
              <w:numPr>
                <w:ilvl w:val="0"/>
                <w:numId w:val="13"/>
              </w:numPr>
              <w:spacing w:after="0" w:line="240" w:lineRule="auto"/>
              <w:ind w:left="0" w:firstLine="82"/>
              <w:jc w:val="center"/>
              <w:rPr>
                <w:rFonts w:ascii="Times New Roman" w:hAnsi="Times New Roman"/>
                <w:sz w:val="23"/>
                <w:szCs w:val="23"/>
              </w:rPr>
            </w:pPr>
          </w:p>
        </w:tc>
        <w:tc>
          <w:tcPr>
            <w:tcW w:w="1221" w:type="pct"/>
          </w:tcPr>
          <w:p w14:paraId="3F8BBFDA" w14:textId="04679CE7" w:rsidR="005C188D" w:rsidRPr="007C1EF6" w:rsidRDefault="005C188D" w:rsidP="0042173F">
            <w:pPr>
              <w:ind w:right="238"/>
              <w:jc w:val="both"/>
              <w:rPr>
                <w:sz w:val="23"/>
                <w:szCs w:val="23"/>
              </w:rPr>
            </w:pPr>
            <w:r w:rsidRPr="007C1EF6">
              <w:rPr>
                <w:sz w:val="23"/>
                <w:szCs w:val="23"/>
                <w:lang w:val="es-MX"/>
              </w:rPr>
              <w:t>Bộ Tài chính</w:t>
            </w:r>
          </w:p>
        </w:tc>
        <w:tc>
          <w:tcPr>
            <w:tcW w:w="1601" w:type="pct"/>
          </w:tcPr>
          <w:p w14:paraId="6F4BDED1" w14:textId="037FF866" w:rsidR="005C188D" w:rsidRPr="007C1EF6" w:rsidRDefault="005C188D" w:rsidP="0042173F">
            <w:pPr>
              <w:ind w:right="31"/>
              <w:jc w:val="both"/>
              <w:rPr>
                <w:rFonts w:eastAsia="MS Mincho"/>
                <w:bCs/>
                <w:sz w:val="23"/>
                <w:szCs w:val="23"/>
                <w:lang w:val="pt-BR"/>
              </w:rPr>
            </w:pPr>
            <w:r w:rsidRPr="007C1EF6">
              <w:rPr>
                <w:rFonts w:eastAsia="MS Mincho"/>
                <w:bCs/>
                <w:sz w:val="23"/>
                <w:szCs w:val="23"/>
                <w:lang w:val="vi-VN"/>
              </w:rPr>
              <w:t>Báo cáo tài chính, các hoạt động liên quan đến quản lý, sử dụng vốn, tài sản nhà nước năm 2024 của Tập đoàn Hóa chất Việt Nam</w:t>
            </w:r>
          </w:p>
        </w:tc>
        <w:tc>
          <w:tcPr>
            <w:tcW w:w="1980" w:type="pct"/>
          </w:tcPr>
          <w:p w14:paraId="4CAFE2D9" w14:textId="55EC7EFD" w:rsidR="005C188D" w:rsidRPr="007C1EF6" w:rsidRDefault="005C188D" w:rsidP="0042173F">
            <w:pPr>
              <w:tabs>
                <w:tab w:val="left" w:leader="dot" w:pos="8900"/>
              </w:tabs>
              <w:ind w:right="68"/>
              <w:jc w:val="both"/>
              <w:rPr>
                <w:sz w:val="23"/>
                <w:szCs w:val="23"/>
                <w:lang w:val="pt-BR"/>
              </w:rPr>
            </w:pPr>
            <w:r w:rsidRPr="007C1EF6">
              <w:rPr>
                <w:sz w:val="23"/>
                <w:szCs w:val="23"/>
                <w:lang w:val="es-MX"/>
              </w:rPr>
              <w:t>Chỉ đạo người đại diện vốn Nhà nước tại Tập Hóa chất Việt Nam kiểm tra, giám sát Tập đoàn thực hiện kiến nghị của Kiểm toán nhà nước</w:t>
            </w:r>
          </w:p>
        </w:tc>
      </w:tr>
      <w:tr w:rsidR="005C188D" w:rsidRPr="007C1EF6" w14:paraId="288B6785" w14:textId="77777777" w:rsidTr="005C188D">
        <w:trPr>
          <w:trHeight w:val="170"/>
          <w:jc w:val="center"/>
        </w:trPr>
        <w:tc>
          <w:tcPr>
            <w:tcW w:w="199" w:type="pct"/>
          </w:tcPr>
          <w:p w14:paraId="24474C8D" w14:textId="77777777" w:rsidR="005C188D" w:rsidRPr="007C1EF6" w:rsidRDefault="005C188D" w:rsidP="0042173F">
            <w:pPr>
              <w:pStyle w:val="ListParagraph"/>
              <w:widowControl w:val="0"/>
              <w:numPr>
                <w:ilvl w:val="0"/>
                <w:numId w:val="13"/>
              </w:numPr>
              <w:spacing w:after="0" w:line="240" w:lineRule="auto"/>
              <w:ind w:left="0" w:firstLine="82"/>
              <w:jc w:val="center"/>
              <w:rPr>
                <w:rFonts w:ascii="Times New Roman" w:hAnsi="Times New Roman"/>
                <w:sz w:val="23"/>
                <w:szCs w:val="23"/>
              </w:rPr>
            </w:pPr>
          </w:p>
        </w:tc>
        <w:tc>
          <w:tcPr>
            <w:tcW w:w="1221" w:type="pct"/>
          </w:tcPr>
          <w:p w14:paraId="5E508C0C" w14:textId="16C8A1DB" w:rsidR="005C188D" w:rsidRPr="007C1EF6" w:rsidRDefault="005C188D" w:rsidP="0042173F">
            <w:pPr>
              <w:ind w:right="238"/>
              <w:jc w:val="both"/>
              <w:rPr>
                <w:sz w:val="23"/>
                <w:szCs w:val="23"/>
              </w:rPr>
            </w:pPr>
            <w:r w:rsidRPr="007C1EF6">
              <w:rPr>
                <w:sz w:val="23"/>
                <w:szCs w:val="23"/>
              </w:rPr>
              <w:t>UBND thành phố Hồ Chí Minh</w:t>
            </w:r>
          </w:p>
        </w:tc>
        <w:tc>
          <w:tcPr>
            <w:tcW w:w="1601" w:type="pct"/>
          </w:tcPr>
          <w:p w14:paraId="5319857F" w14:textId="5F692371" w:rsidR="005C188D" w:rsidRPr="007C1EF6" w:rsidRDefault="005C188D" w:rsidP="0042173F">
            <w:pPr>
              <w:ind w:right="31"/>
              <w:jc w:val="both"/>
              <w:rPr>
                <w:rFonts w:eastAsia="MS Mincho"/>
                <w:bCs/>
                <w:sz w:val="23"/>
                <w:szCs w:val="23"/>
                <w:lang w:val="pt-BR"/>
              </w:rPr>
            </w:pPr>
            <w:r w:rsidRPr="007C1EF6">
              <w:rPr>
                <w:rFonts w:eastAsia="MS Mincho"/>
                <w:bCs/>
                <w:sz w:val="23"/>
                <w:szCs w:val="23"/>
                <w:lang w:val="vi-VN"/>
              </w:rPr>
              <w:t xml:space="preserve">Báo cáo tài chính, các hoạt động liên quan đến quản lý, sử dụng vốn, tài sản nhà nước năm 2024 của </w:t>
            </w:r>
            <w:bookmarkStart w:id="5" w:name="_Hlk201041409"/>
            <w:r w:rsidRPr="007C1EF6">
              <w:rPr>
                <w:rFonts w:eastAsia="MS Mincho"/>
                <w:bCs/>
                <w:sz w:val="23"/>
                <w:szCs w:val="23"/>
                <w:lang w:val="vi-VN"/>
              </w:rPr>
              <w:t>T</w:t>
            </w:r>
            <w:r w:rsidRPr="007C1EF6">
              <w:rPr>
                <w:rFonts w:eastAsia="MS Mincho"/>
                <w:bCs/>
                <w:sz w:val="23"/>
                <w:szCs w:val="23"/>
              </w:rPr>
              <w:t xml:space="preserve">ổng công ty Thép </w:t>
            </w:r>
            <w:r w:rsidRPr="007C1EF6">
              <w:rPr>
                <w:rFonts w:eastAsia="MS Mincho"/>
                <w:bCs/>
                <w:sz w:val="23"/>
                <w:szCs w:val="23"/>
                <w:lang w:val="vi-VN"/>
              </w:rPr>
              <w:t>Việt Nam</w:t>
            </w:r>
            <w:r w:rsidRPr="007C1EF6">
              <w:rPr>
                <w:rFonts w:eastAsia="MS Mincho"/>
                <w:bCs/>
                <w:sz w:val="23"/>
                <w:szCs w:val="23"/>
              </w:rPr>
              <w:t>-CTCP</w:t>
            </w:r>
            <w:bookmarkEnd w:id="5"/>
          </w:p>
        </w:tc>
        <w:tc>
          <w:tcPr>
            <w:tcW w:w="1980" w:type="pct"/>
          </w:tcPr>
          <w:p w14:paraId="6098C3D5" w14:textId="77777777" w:rsidR="005C188D" w:rsidRPr="007C1EF6" w:rsidRDefault="005C188D" w:rsidP="0042173F">
            <w:pPr>
              <w:tabs>
                <w:tab w:val="left" w:leader="dot" w:pos="8900"/>
              </w:tabs>
              <w:ind w:right="68"/>
              <w:jc w:val="both"/>
              <w:rPr>
                <w:sz w:val="23"/>
                <w:szCs w:val="23"/>
              </w:rPr>
            </w:pPr>
            <w:r w:rsidRPr="007C1EF6">
              <w:rPr>
                <w:sz w:val="23"/>
                <w:szCs w:val="23"/>
              </w:rPr>
              <w:t xml:space="preserve">Đề nghị Ủy ban nhân dân Thành phố Hồ Chí Minh: Chỉ đạo các cơ quan nhà nước có thẩm quyền thực hiện kiểm tra, rà soát việc quản lý và sử dụng đất tại số 19/20 Tự Quyết, khu </w:t>
            </w:r>
            <w:r w:rsidRPr="007C1EF6">
              <w:rPr>
                <w:sz w:val="23"/>
                <w:szCs w:val="23"/>
              </w:rPr>
              <w:lastRenderedPageBreak/>
              <w:t>phố 1, phường 17, quận Tân Phú của Tổng Công ty Thép Việt Nam - CTCP; trường hợp qua kiểm tra, rà soát phát hiện đơn vị sử dụng đất không đúng quy định thì xem xét xử lý theo đúng quy định của pháp luật.</w:t>
            </w:r>
          </w:p>
          <w:p w14:paraId="15232A83" w14:textId="77777777" w:rsidR="005C188D" w:rsidRPr="007C1EF6" w:rsidRDefault="005C188D" w:rsidP="0042173F">
            <w:pPr>
              <w:tabs>
                <w:tab w:val="left" w:leader="dot" w:pos="8900"/>
              </w:tabs>
              <w:ind w:right="68"/>
              <w:jc w:val="both"/>
              <w:rPr>
                <w:sz w:val="23"/>
                <w:szCs w:val="23"/>
                <w:lang w:val="pt-BR"/>
              </w:rPr>
            </w:pPr>
          </w:p>
        </w:tc>
      </w:tr>
      <w:tr w:rsidR="005C188D" w:rsidRPr="007C1EF6" w14:paraId="48F6F658" w14:textId="77777777" w:rsidTr="005C188D">
        <w:trPr>
          <w:trHeight w:val="170"/>
          <w:jc w:val="center"/>
        </w:trPr>
        <w:tc>
          <w:tcPr>
            <w:tcW w:w="199" w:type="pct"/>
          </w:tcPr>
          <w:p w14:paraId="070F2393" w14:textId="77777777" w:rsidR="005C188D" w:rsidRPr="007C1EF6" w:rsidRDefault="005C188D" w:rsidP="0042173F">
            <w:pPr>
              <w:pStyle w:val="ListParagraph"/>
              <w:widowControl w:val="0"/>
              <w:numPr>
                <w:ilvl w:val="0"/>
                <w:numId w:val="13"/>
              </w:numPr>
              <w:spacing w:after="0" w:line="240" w:lineRule="auto"/>
              <w:ind w:left="0" w:firstLine="82"/>
              <w:jc w:val="center"/>
              <w:rPr>
                <w:rFonts w:ascii="Times New Roman" w:hAnsi="Times New Roman"/>
                <w:sz w:val="23"/>
                <w:szCs w:val="23"/>
              </w:rPr>
            </w:pPr>
          </w:p>
        </w:tc>
        <w:tc>
          <w:tcPr>
            <w:tcW w:w="1221" w:type="pct"/>
          </w:tcPr>
          <w:p w14:paraId="6AD47D9A" w14:textId="3F4D81AF" w:rsidR="005C188D" w:rsidRPr="007C1EF6" w:rsidRDefault="005C188D" w:rsidP="0042173F">
            <w:pPr>
              <w:ind w:right="238"/>
              <w:jc w:val="both"/>
              <w:rPr>
                <w:sz w:val="23"/>
                <w:szCs w:val="23"/>
              </w:rPr>
            </w:pPr>
            <w:r w:rsidRPr="007C1EF6">
              <w:rPr>
                <w:sz w:val="23"/>
                <w:szCs w:val="23"/>
              </w:rPr>
              <w:t>UBND thành phố Đà Nẵng</w:t>
            </w:r>
          </w:p>
        </w:tc>
        <w:tc>
          <w:tcPr>
            <w:tcW w:w="1601" w:type="pct"/>
          </w:tcPr>
          <w:p w14:paraId="74E3722B" w14:textId="5F817D57" w:rsidR="005C188D" w:rsidRPr="007C1EF6" w:rsidRDefault="005C188D" w:rsidP="0042173F">
            <w:pPr>
              <w:ind w:right="31"/>
              <w:jc w:val="both"/>
              <w:rPr>
                <w:rFonts w:eastAsia="MS Mincho"/>
                <w:bCs/>
                <w:sz w:val="23"/>
                <w:szCs w:val="23"/>
                <w:lang w:val="pt-BR"/>
              </w:rPr>
            </w:pPr>
            <w:r w:rsidRPr="007C1EF6">
              <w:rPr>
                <w:rFonts w:eastAsia="MS Mincho"/>
                <w:bCs/>
                <w:sz w:val="23"/>
                <w:szCs w:val="23"/>
                <w:lang w:val="vi-VN"/>
              </w:rPr>
              <w:t>Báo cáo tài chính, các hoạt động liên quan đến quản lý, sử dụng vốn, tài sản nhà nước năm 2024 của T</w:t>
            </w:r>
            <w:r w:rsidRPr="007C1EF6">
              <w:rPr>
                <w:rFonts w:eastAsia="MS Mincho"/>
                <w:bCs/>
                <w:sz w:val="23"/>
                <w:szCs w:val="23"/>
              </w:rPr>
              <w:t xml:space="preserve">ổng công ty Thép </w:t>
            </w:r>
            <w:r w:rsidRPr="007C1EF6">
              <w:rPr>
                <w:rFonts w:eastAsia="MS Mincho"/>
                <w:bCs/>
                <w:sz w:val="23"/>
                <w:szCs w:val="23"/>
                <w:lang w:val="vi-VN"/>
              </w:rPr>
              <w:t>Việt Nam</w:t>
            </w:r>
            <w:r w:rsidRPr="007C1EF6">
              <w:rPr>
                <w:rFonts w:eastAsia="MS Mincho"/>
                <w:bCs/>
                <w:sz w:val="23"/>
                <w:szCs w:val="23"/>
              </w:rPr>
              <w:t>-CTCP</w:t>
            </w:r>
          </w:p>
        </w:tc>
        <w:tc>
          <w:tcPr>
            <w:tcW w:w="1980" w:type="pct"/>
          </w:tcPr>
          <w:p w14:paraId="549FCF89" w14:textId="70FB5B62" w:rsidR="005C188D" w:rsidRPr="007C1EF6" w:rsidRDefault="005C188D" w:rsidP="0042173F">
            <w:pPr>
              <w:tabs>
                <w:tab w:val="left" w:leader="dot" w:pos="8900"/>
              </w:tabs>
              <w:ind w:right="68"/>
              <w:jc w:val="both"/>
              <w:rPr>
                <w:sz w:val="23"/>
                <w:szCs w:val="23"/>
                <w:lang w:val="pt-BR"/>
              </w:rPr>
            </w:pPr>
            <w:r w:rsidRPr="007C1EF6">
              <w:rPr>
                <w:sz w:val="23"/>
                <w:szCs w:val="23"/>
              </w:rPr>
              <w:t>Đề nghị Ủy ban nhân dân thành phố Đà Nẵng: Chỉ đạo các cơ quan nhà nước có thẩm quyền thực hiện kiểm tra, rà soát việc quản lý và sử dụng đất tại số 410, đường 2/9 - thành phố Đà Nẵng; trường hợp qua kiểm tra, rà soát phát hiện đơn vị sử dụng đất không đúng quy định thì xem xét xử lý theo đúng quy định của pháp luật.</w:t>
            </w:r>
          </w:p>
        </w:tc>
      </w:tr>
      <w:tr w:rsidR="005C188D" w:rsidRPr="007C1EF6" w14:paraId="1F3BEC18" w14:textId="77777777" w:rsidTr="005C188D">
        <w:trPr>
          <w:trHeight w:val="170"/>
          <w:jc w:val="center"/>
        </w:trPr>
        <w:tc>
          <w:tcPr>
            <w:tcW w:w="199" w:type="pct"/>
          </w:tcPr>
          <w:p w14:paraId="4555675C" w14:textId="77777777" w:rsidR="005C188D" w:rsidRPr="007C1EF6" w:rsidRDefault="005C188D" w:rsidP="0042173F">
            <w:pPr>
              <w:pStyle w:val="ListParagraph"/>
              <w:widowControl w:val="0"/>
              <w:numPr>
                <w:ilvl w:val="0"/>
                <w:numId w:val="13"/>
              </w:numPr>
              <w:spacing w:after="0" w:line="240" w:lineRule="auto"/>
              <w:ind w:left="0" w:firstLine="82"/>
              <w:jc w:val="center"/>
              <w:rPr>
                <w:rFonts w:ascii="Times New Roman" w:hAnsi="Times New Roman"/>
                <w:sz w:val="23"/>
                <w:szCs w:val="23"/>
              </w:rPr>
            </w:pPr>
          </w:p>
        </w:tc>
        <w:tc>
          <w:tcPr>
            <w:tcW w:w="1221" w:type="pct"/>
          </w:tcPr>
          <w:p w14:paraId="786B02A5" w14:textId="3AEC0B89" w:rsidR="005C188D" w:rsidRPr="007C1EF6" w:rsidRDefault="005C188D" w:rsidP="0042173F">
            <w:pPr>
              <w:ind w:right="238"/>
              <w:jc w:val="both"/>
              <w:rPr>
                <w:sz w:val="23"/>
                <w:szCs w:val="23"/>
              </w:rPr>
            </w:pPr>
            <w:r w:rsidRPr="007C1EF6">
              <w:rPr>
                <w:bCs/>
                <w:sz w:val="23"/>
                <w:szCs w:val="23"/>
                <w:lang w:val="vi-VN"/>
              </w:rPr>
              <w:t>Bộ Tài chính</w:t>
            </w:r>
          </w:p>
        </w:tc>
        <w:tc>
          <w:tcPr>
            <w:tcW w:w="1601" w:type="pct"/>
          </w:tcPr>
          <w:p w14:paraId="3C51660F" w14:textId="158DE844" w:rsidR="005C188D" w:rsidRPr="007C1EF6" w:rsidRDefault="005C188D" w:rsidP="0042173F">
            <w:pPr>
              <w:ind w:right="31"/>
              <w:jc w:val="both"/>
              <w:rPr>
                <w:rFonts w:eastAsia="MS Mincho"/>
                <w:bCs/>
                <w:sz w:val="23"/>
                <w:szCs w:val="23"/>
                <w:lang w:val="pt-BR"/>
              </w:rPr>
            </w:pPr>
            <w:r w:rsidRPr="007C1EF6">
              <w:rPr>
                <w:rFonts w:eastAsia="MS Mincho"/>
                <w:bCs/>
                <w:sz w:val="23"/>
                <w:szCs w:val="23"/>
                <w:lang w:val="nl-NL"/>
              </w:rPr>
              <w:t>Báo cáo tài chính, các hoạt động liên quan đến quản lý, sử dụng vốn, tài sản nhà nước năm 2024 của Ngân hàng Phát triển Việt Nam</w:t>
            </w:r>
          </w:p>
        </w:tc>
        <w:tc>
          <w:tcPr>
            <w:tcW w:w="1980" w:type="pct"/>
          </w:tcPr>
          <w:p w14:paraId="24AB6E8A" w14:textId="77777777" w:rsidR="005C188D" w:rsidRPr="007C1EF6" w:rsidRDefault="005C188D" w:rsidP="0042173F">
            <w:pPr>
              <w:tabs>
                <w:tab w:val="left" w:leader="dot" w:pos="8900"/>
              </w:tabs>
              <w:ind w:right="68"/>
              <w:jc w:val="both"/>
              <w:rPr>
                <w:sz w:val="23"/>
                <w:szCs w:val="23"/>
                <w:lang w:val="nl-NL"/>
              </w:rPr>
            </w:pPr>
            <w:r w:rsidRPr="007C1EF6">
              <w:rPr>
                <w:sz w:val="23"/>
                <w:szCs w:val="23"/>
                <w:lang w:val="nl-NL"/>
              </w:rPr>
              <w:t>- Chỉ đạo, hướng dẫn VDB để xử lý đối với các khoản góp vốn của 9 doanh nghiệp nhà nước vào Quỹ Hỗ trợ Đầu tư Quốc gia theo Quyết định số 808/QĐ-TTg ngày 09/12/1995 của Thủ tướng Chính phủ.</w:t>
            </w:r>
          </w:p>
          <w:p w14:paraId="5FBC6731" w14:textId="77777777" w:rsidR="005C188D" w:rsidRPr="007C1EF6" w:rsidRDefault="005C188D" w:rsidP="0042173F">
            <w:pPr>
              <w:tabs>
                <w:tab w:val="left" w:leader="dot" w:pos="8900"/>
              </w:tabs>
              <w:ind w:right="68"/>
              <w:jc w:val="both"/>
              <w:rPr>
                <w:sz w:val="23"/>
                <w:szCs w:val="23"/>
                <w:lang w:val="nl-NL"/>
              </w:rPr>
            </w:pPr>
            <w:r w:rsidRPr="007C1EF6">
              <w:rPr>
                <w:sz w:val="23"/>
                <w:szCs w:val="23"/>
                <w:lang w:val="nl-NL"/>
              </w:rPr>
              <w:t>- Căn cứ báo cáo của VDB và kết quả đàm phán với nhà tài trợ Phần Lan để báo cáo Thủ tướng Chính phủ về các khó khăn, vướng mắc, đề xuất các giải pháp tháo gỡ khó khăn, vướng mắc để xử lý dứt điểm đối với Quỹ Phà, Quỹ cấp nước Phần Lan 1, Cấp nước Phần Lan 2 để đảm bảo hiệu quả sử dụng các nguồn vốn này.</w:t>
            </w:r>
          </w:p>
          <w:p w14:paraId="59CFB271" w14:textId="77777777" w:rsidR="005C188D" w:rsidRPr="007C1EF6" w:rsidRDefault="005C188D" w:rsidP="0042173F">
            <w:pPr>
              <w:tabs>
                <w:tab w:val="left" w:leader="dot" w:pos="8900"/>
              </w:tabs>
              <w:ind w:right="68"/>
              <w:jc w:val="both"/>
              <w:rPr>
                <w:sz w:val="23"/>
                <w:szCs w:val="23"/>
                <w:lang w:val="nl-NL"/>
              </w:rPr>
            </w:pPr>
            <w:r w:rsidRPr="007C1EF6">
              <w:rPr>
                <w:sz w:val="23"/>
                <w:szCs w:val="23"/>
                <w:lang w:val="nl-NL"/>
              </w:rPr>
              <w:t>- Đối với cấp bù chênh lệch lãi suất và phí quản lý: Chỉ đạo, hướng dẫn VDB thực hiện rà soát tính toán lại số cấp bù chênh lệch lãi suất và phí quản lý cho giai đoạn 2016-2021 theo các phát hiện qua kiểm toán trong Báo cáo kiểm toán này để điều chỉnh quyết toán cấp bù chênh lệch lãi suất và phí quản lý theo quy định.</w:t>
            </w:r>
          </w:p>
          <w:p w14:paraId="0FFD8B9F" w14:textId="77777777" w:rsidR="005C188D" w:rsidRPr="007C1EF6" w:rsidRDefault="005C188D" w:rsidP="0042173F">
            <w:pPr>
              <w:tabs>
                <w:tab w:val="left" w:leader="dot" w:pos="8900"/>
              </w:tabs>
              <w:ind w:right="68"/>
              <w:jc w:val="both"/>
              <w:rPr>
                <w:sz w:val="23"/>
                <w:szCs w:val="23"/>
                <w:lang w:val="pt-BR"/>
              </w:rPr>
            </w:pPr>
            <w:r w:rsidRPr="007C1EF6">
              <w:rPr>
                <w:sz w:val="23"/>
                <w:szCs w:val="23"/>
                <w:lang w:val="pt-BR"/>
              </w:rPr>
              <w:t xml:space="preserve">- Khẩn trương phê duyệt Phương án sắp xếp, xử lý nhà, đất của VDB theo quy định hiện hành đảm bảo tính hợp lý, hiệu quả để VDB có cơ sở thực hiện. </w:t>
            </w:r>
          </w:p>
          <w:p w14:paraId="19C51981" w14:textId="0CE1FBD3" w:rsidR="005C188D" w:rsidRPr="007C1EF6" w:rsidRDefault="005C188D" w:rsidP="0042173F">
            <w:pPr>
              <w:tabs>
                <w:tab w:val="left" w:leader="dot" w:pos="8900"/>
              </w:tabs>
              <w:ind w:right="68"/>
              <w:jc w:val="both"/>
              <w:rPr>
                <w:sz w:val="23"/>
                <w:szCs w:val="23"/>
                <w:lang w:val="pt-BR"/>
              </w:rPr>
            </w:pPr>
            <w:r w:rsidRPr="007C1EF6">
              <w:rPr>
                <w:sz w:val="23"/>
                <w:szCs w:val="23"/>
                <w:lang w:val="sv-SE"/>
              </w:rPr>
              <w:t>- Có văn bản để xử lý dứt điểm vướng mắc về rút vốn và nhận nợ đối với 02 dự án của Tổng Công ty Điện lực miền Trung.</w:t>
            </w:r>
          </w:p>
        </w:tc>
      </w:tr>
      <w:tr w:rsidR="005C188D" w:rsidRPr="007C1EF6" w14:paraId="18269F09" w14:textId="77777777" w:rsidTr="005C188D">
        <w:trPr>
          <w:trHeight w:val="170"/>
          <w:jc w:val="center"/>
        </w:trPr>
        <w:tc>
          <w:tcPr>
            <w:tcW w:w="199" w:type="pct"/>
          </w:tcPr>
          <w:p w14:paraId="58DD2ABC" w14:textId="77777777" w:rsidR="005C188D" w:rsidRPr="007C1EF6" w:rsidRDefault="005C188D" w:rsidP="0042173F">
            <w:pPr>
              <w:pStyle w:val="ListParagraph"/>
              <w:widowControl w:val="0"/>
              <w:numPr>
                <w:ilvl w:val="0"/>
                <w:numId w:val="13"/>
              </w:numPr>
              <w:spacing w:after="0" w:line="240" w:lineRule="auto"/>
              <w:ind w:left="0" w:firstLine="82"/>
              <w:jc w:val="center"/>
              <w:rPr>
                <w:rFonts w:ascii="Times New Roman" w:hAnsi="Times New Roman"/>
                <w:sz w:val="23"/>
                <w:szCs w:val="23"/>
              </w:rPr>
            </w:pPr>
          </w:p>
        </w:tc>
        <w:tc>
          <w:tcPr>
            <w:tcW w:w="1221" w:type="pct"/>
          </w:tcPr>
          <w:p w14:paraId="37BD5C38" w14:textId="4A2DFCF7" w:rsidR="005C188D" w:rsidRPr="007C1EF6" w:rsidRDefault="005C188D" w:rsidP="0042173F">
            <w:pPr>
              <w:ind w:right="238"/>
              <w:jc w:val="both"/>
              <w:rPr>
                <w:sz w:val="23"/>
                <w:szCs w:val="23"/>
              </w:rPr>
            </w:pPr>
            <w:r w:rsidRPr="007C1EF6">
              <w:rPr>
                <w:rFonts w:eastAsia="MS Mincho"/>
                <w:sz w:val="23"/>
                <w:szCs w:val="23"/>
                <w:lang w:val="vi-VN"/>
              </w:rPr>
              <w:t>Bộ Tài chính</w:t>
            </w:r>
          </w:p>
        </w:tc>
        <w:tc>
          <w:tcPr>
            <w:tcW w:w="1601" w:type="pct"/>
          </w:tcPr>
          <w:p w14:paraId="768795B9" w14:textId="00144044" w:rsidR="005C188D" w:rsidRPr="007C1EF6" w:rsidRDefault="005C188D" w:rsidP="0042173F">
            <w:pPr>
              <w:ind w:right="31"/>
              <w:jc w:val="both"/>
              <w:rPr>
                <w:rFonts w:eastAsia="MS Mincho"/>
                <w:bCs/>
                <w:sz w:val="23"/>
                <w:szCs w:val="23"/>
                <w:lang w:val="pt-BR"/>
              </w:rPr>
            </w:pPr>
            <w:r w:rsidRPr="007C1EF6">
              <w:rPr>
                <w:rFonts w:eastAsia="MS Mincho"/>
                <w:bCs/>
                <w:sz w:val="23"/>
                <w:szCs w:val="23"/>
                <w:lang w:val="vi-VN"/>
              </w:rPr>
              <w:t xml:space="preserve">Báo cáo tài chính, các hoạt động liên quan đến quản lý, sử dụng vốn, tài sản nhà nước năm 2024 </w:t>
            </w:r>
            <w:r w:rsidRPr="007C1EF6">
              <w:rPr>
                <w:rFonts w:eastAsia="MS Mincho"/>
                <w:bCs/>
                <w:sz w:val="23"/>
                <w:szCs w:val="23"/>
                <w:lang w:val="vi-VN"/>
              </w:rPr>
              <w:lastRenderedPageBreak/>
              <w:t>của Công ty TNHH MTV Xổ số Điện Toán Việt Nam</w:t>
            </w:r>
          </w:p>
        </w:tc>
        <w:tc>
          <w:tcPr>
            <w:tcW w:w="1980" w:type="pct"/>
          </w:tcPr>
          <w:p w14:paraId="4A87E20D" w14:textId="1A290136" w:rsidR="005C188D" w:rsidRPr="007C1EF6" w:rsidRDefault="005C188D" w:rsidP="0042173F">
            <w:pPr>
              <w:tabs>
                <w:tab w:val="left" w:leader="dot" w:pos="8900"/>
              </w:tabs>
              <w:ind w:right="68"/>
              <w:jc w:val="both"/>
              <w:rPr>
                <w:sz w:val="23"/>
                <w:szCs w:val="23"/>
                <w:lang w:val="pt-BR"/>
              </w:rPr>
            </w:pPr>
            <w:r w:rsidRPr="007C1EF6">
              <w:rPr>
                <w:sz w:val="23"/>
                <w:szCs w:val="23"/>
              </w:rPr>
              <w:lastRenderedPageBreak/>
              <w:t>Kiểm tra, rà soát để</w:t>
            </w:r>
            <w:r w:rsidRPr="007C1EF6">
              <w:rPr>
                <w:sz w:val="23"/>
                <w:szCs w:val="23"/>
                <w:lang w:val="vi-VN"/>
              </w:rPr>
              <w:t xml:space="preserve"> xem xét, đánh giá các tác động </w:t>
            </w:r>
            <w:r w:rsidRPr="007C1EF6">
              <w:rPr>
                <w:sz w:val="23"/>
                <w:szCs w:val="23"/>
              </w:rPr>
              <w:t>đối với</w:t>
            </w:r>
            <w:r w:rsidRPr="007C1EF6">
              <w:rPr>
                <w:sz w:val="23"/>
                <w:szCs w:val="23"/>
                <w:lang w:val="vi-VN"/>
              </w:rPr>
              <w:t xml:space="preserve"> việc Vietlott ký kết các Phụ lục số 13 ngày 01/9/2020 về việc sửa đổi số 04 Hợp đồng hợp tác kinh doanh và Phụ lục </w:t>
            </w:r>
            <w:r w:rsidRPr="007C1EF6">
              <w:rPr>
                <w:sz w:val="23"/>
                <w:szCs w:val="23"/>
                <w:lang w:val="vi-VN"/>
              </w:rPr>
              <w:lastRenderedPageBreak/>
              <w:t xml:space="preserve">số 15 ngày 31/12/2024 về việc sửa đổi số 06 Hợp đồng hợp tác kinh doanh với đối tác Berjaya và giải quyết theo thẩm quyền đối với các </w:t>
            </w:r>
            <w:r w:rsidRPr="007C1EF6">
              <w:rPr>
                <w:sz w:val="23"/>
                <w:szCs w:val="23"/>
              </w:rPr>
              <w:t>vấn đề</w:t>
            </w:r>
            <w:r w:rsidRPr="007C1EF6">
              <w:rPr>
                <w:sz w:val="23"/>
                <w:szCs w:val="23"/>
                <w:lang w:val="vi-VN"/>
              </w:rPr>
              <w:t xml:space="preserve"> liên quan.</w:t>
            </w:r>
          </w:p>
        </w:tc>
      </w:tr>
      <w:tr w:rsidR="005C188D" w:rsidRPr="007C1EF6" w14:paraId="1357F4C4" w14:textId="77777777" w:rsidTr="005C188D">
        <w:trPr>
          <w:trHeight w:val="170"/>
          <w:jc w:val="center"/>
        </w:trPr>
        <w:tc>
          <w:tcPr>
            <w:tcW w:w="199" w:type="pct"/>
          </w:tcPr>
          <w:p w14:paraId="1CAFE63A" w14:textId="77777777" w:rsidR="005C188D" w:rsidRPr="007C1EF6" w:rsidRDefault="005C188D" w:rsidP="0042173F">
            <w:pPr>
              <w:pStyle w:val="ListParagraph"/>
              <w:widowControl w:val="0"/>
              <w:numPr>
                <w:ilvl w:val="0"/>
                <w:numId w:val="13"/>
              </w:numPr>
              <w:spacing w:after="0" w:line="240" w:lineRule="auto"/>
              <w:ind w:left="0" w:firstLine="82"/>
              <w:jc w:val="center"/>
              <w:rPr>
                <w:rFonts w:ascii="Times New Roman" w:hAnsi="Times New Roman"/>
                <w:sz w:val="23"/>
                <w:szCs w:val="23"/>
              </w:rPr>
            </w:pPr>
          </w:p>
        </w:tc>
        <w:tc>
          <w:tcPr>
            <w:tcW w:w="1221" w:type="pct"/>
          </w:tcPr>
          <w:p w14:paraId="231FFD43" w14:textId="1863DEBC" w:rsidR="005C188D" w:rsidRPr="007C1EF6" w:rsidRDefault="005C188D" w:rsidP="0042173F">
            <w:pPr>
              <w:ind w:right="238"/>
              <w:jc w:val="both"/>
              <w:rPr>
                <w:sz w:val="23"/>
                <w:szCs w:val="23"/>
              </w:rPr>
            </w:pPr>
            <w:r w:rsidRPr="007C1EF6">
              <w:rPr>
                <w:sz w:val="23"/>
                <w:szCs w:val="23"/>
                <w:lang w:val="nl-BE"/>
              </w:rPr>
              <w:t>UBND thành phố Hồ Chí Minh</w:t>
            </w:r>
          </w:p>
        </w:tc>
        <w:tc>
          <w:tcPr>
            <w:tcW w:w="1601" w:type="pct"/>
          </w:tcPr>
          <w:p w14:paraId="1D43C40A" w14:textId="23F20FBA" w:rsidR="005C188D" w:rsidRPr="007C1EF6" w:rsidRDefault="005C188D" w:rsidP="0042173F">
            <w:pPr>
              <w:ind w:right="31"/>
              <w:jc w:val="both"/>
              <w:rPr>
                <w:rFonts w:eastAsia="MS Mincho"/>
                <w:bCs/>
                <w:sz w:val="23"/>
                <w:szCs w:val="23"/>
                <w:lang w:val="pt-BR"/>
              </w:rPr>
            </w:pPr>
            <w:r w:rsidRPr="007C1EF6">
              <w:rPr>
                <w:rFonts w:eastAsia="MS Mincho"/>
                <w:bCs/>
                <w:sz w:val="23"/>
                <w:szCs w:val="23"/>
                <w:lang w:val="vi-VN"/>
              </w:rPr>
              <w:t>Báo cáo tài chính, các hoạt động liên quan đến quản lý, sử dụng vốn, tài sản nhà nước năm 202</w:t>
            </w:r>
            <w:r w:rsidRPr="007C1EF6">
              <w:rPr>
                <w:rFonts w:eastAsia="MS Mincho"/>
                <w:bCs/>
                <w:sz w:val="23"/>
                <w:szCs w:val="23"/>
              </w:rPr>
              <w:t>4</w:t>
            </w:r>
            <w:r w:rsidRPr="007C1EF6">
              <w:rPr>
                <w:rFonts w:eastAsia="MS Mincho"/>
                <w:bCs/>
                <w:sz w:val="23"/>
                <w:szCs w:val="23"/>
                <w:lang w:val="vi-VN"/>
              </w:rPr>
              <w:t xml:space="preserve"> của </w:t>
            </w:r>
            <w:r w:rsidRPr="007C1EF6">
              <w:rPr>
                <w:rFonts w:eastAsia="MS Mincho"/>
                <w:bCs/>
                <w:sz w:val="23"/>
                <w:szCs w:val="23"/>
              </w:rPr>
              <w:t>Tổng công ty Hàng không Việt Nam - CTCP</w:t>
            </w:r>
          </w:p>
        </w:tc>
        <w:tc>
          <w:tcPr>
            <w:tcW w:w="1980" w:type="pct"/>
          </w:tcPr>
          <w:p w14:paraId="113862E4" w14:textId="77777777" w:rsidR="005C188D" w:rsidRPr="007C1EF6" w:rsidRDefault="005C188D" w:rsidP="0042173F">
            <w:pPr>
              <w:tabs>
                <w:tab w:val="left" w:leader="dot" w:pos="8900"/>
              </w:tabs>
              <w:ind w:right="68"/>
              <w:jc w:val="both"/>
              <w:rPr>
                <w:sz w:val="23"/>
                <w:szCs w:val="23"/>
                <w:lang w:val="nl-BE"/>
              </w:rPr>
            </w:pPr>
            <w:r w:rsidRPr="007C1EF6">
              <w:rPr>
                <w:sz w:val="23"/>
                <w:szCs w:val="23"/>
                <w:lang w:val="nl-BE"/>
              </w:rPr>
              <w:t>Đề nghị UBND thành phố Hồ Chí Minh chỉ đạo các cơ quan có thẩm quyền:</w:t>
            </w:r>
          </w:p>
          <w:p w14:paraId="3B369261" w14:textId="77777777" w:rsidR="005C188D" w:rsidRPr="007C1EF6" w:rsidRDefault="005C188D" w:rsidP="0042173F">
            <w:pPr>
              <w:tabs>
                <w:tab w:val="left" w:leader="dot" w:pos="8900"/>
              </w:tabs>
              <w:ind w:right="68"/>
              <w:jc w:val="both"/>
              <w:rPr>
                <w:sz w:val="23"/>
                <w:szCs w:val="23"/>
                <w:lang w:val="nl-BE"/>
              </w:rPr>
            </w:pPr>
            <w:r w:rsidRPr="007C1EF6">
              <w:rPr>
                <w:sz w:val="23"/>
                <w:szCs w:val="23"/>
                <w:lang w:val="nl-BE"/>
              </w:rPr>
              <w:t>- R</w:t>
            </w:r>
            <w:r w:rsidRPr="007C1EF6">
              <w:rPr>
                <w:sz w:val="23"/>
                <w:szCs w:val="23"/>
                <w:lang w:val="es-MX"/>
              </w:rPr>
              <w:t>à soát các quy định, quyết định, hồ sơ pháp lý về đất đai,</w:t>
            </w:r>
            <w:r w:rsidRPr="007C1EF6">
              <w:rPr>
                <w:sz w:val="23"/>
                <w:szCs w:val="23"/>
                <w:lang w:val="nl-BE"/>
              </w:rPr>
              <w:t xml:space="preserve"> xem xét, quyết định việc cho thuê đất để hoàn thành thủ tục pháp lý theo quy định; kiểm tra hiện trạng, </w:t>
            </w:r>
            <w:r w:rsidRPr="007C1EF6">
              <w:rPr>
                <w:sz w:val="23"/>
                <w:szCs w:val="23"/>
                <w:lang w:val="pt-BR"/>
              </w:rPr>
              <w:t xml:space="preserve">xác định giá thuê đất, xác định số tiền thuê đất mà đơn vị còn thiếu (nếu có) và thu, truy thu vào NSNN theo quy định đối với </w:t>
            </w:r>
            <w:r w:rsidRPr="007C1EF6">
              <w:rPr>
                <w:sz w:val="23"/>
                <w:szCs w:val="23"/>
                <w:lang w:val="nl-BE"/>
              </w:rPr>
              <w:t>các cơ sở đất tại số 115, 117, 126 đường Hồng Hà, quận Tân Bình, Thành phố Hồ Chí Minh do Tổng công ty Hàng không Việt Nam - CTCP đang quản lý, sử dụng và cơ sở đất làm trụ sở Công ty TNHH Suất ăn hàng không Việt Nam.</w:t>
            </w:r>
          </w:p>
          <w:p w14:paraId="379A6D01" w14:textId="77777777" w:rsidR="005C188D" w:rsidRPr="007C1EF6" w:rsidRDefault="005C188D" w:rsidP="0042173F">
            <w:pPr>
              <w:tabs>
                <w:tab w:val="left" w:leader="dot" w:pos="8900"/>
              </w:tabs>
              <w:ind w:right="68"/>
              <w:jc w:val="both"/>
              <w:rPr>
                <w:sz w:val="23"/>
                <w:szCs w:val="23"/>
                <w:lang w:val="nl-BE"/>
              </w:rPr>
            </w:pPr>
            <w:r w:rsidRPr="007C1EF6">
              <w:rPr>
                <w:sz w:val="23"/>
                <w:szCs w:val="23"/>
                <w:lang w:val="nl-BE"/>
              </w:rPr>
              <w:t>- R</w:t>
            </w:r>
            <w:r w:rsidRPr="007C1EF6">
              <w:rPr>
                <w:sz w:val="23"/>
                <w:szCs w:val="23"/>
                <w:lang w:val="es-MX"/>
              </w:rPr>
              <w:t>à soát các quy định, quyết định, hồ sơ pháp lý về đất đai,</w:t>
            </w:r>
            <w:r w:rsidRPr="007C1EF6">
              <w:rPr>
                <w:sz w:val="23"/>
                <w:szCs w:val="23"/>
                <w:lang w:val="nl-BE"/>
              </w:rPr>
              <w:t xml:space="preserve"> kiểm tra hiện trạng, </w:t>
            </w:r>
            <w:r w:rsidRPr="007C1EF6">
              <w:rPr>
                <w:sz w:val="23"/>
                <w:szCs w:val="23"/>
                <w:lang w:val="pt-BR"/>
              </w:rPr>
              <w:t>xác định giá thuê đất, xác định số tiền thuê đất mà đơn vị phải nộp đảm bảo theo quy định</w:t>
            </w:r>
            <w:r w:rsidRPr="007C1EF6">
              <w:rPr>
                <w:bCs/>
                <w:sz w:val="23"/>
                <w:szCs w:val="23"/>
                <w:lang w:val="es-MX"/>
              </w:rPr>
              <w:t xml:space="preserve">, làm cơ sở để đơn vị thuê đất thực hiện nghĩa vụ nộp tiền thuê đất; thu, truy thu vào NSNN số tiền thuê đất mà đơn vị còn thiếu (nếu có) </w:t>
            </w:r>
            <w:r w:rsidRPr="007C1EF6">
              <w:rPr>
                <w:sz w:val="23"/>
                <w:szCs w:val="23"/>
                <w:lang w:val="nl-BE"/>
              </w:rPr>
              <w:t xml:space="preserve">đối </w:t>
            </w:r>
            <w:r w:rsidRPr="007C1EF6">
              <w:rPr>
                <w:bCs/>
                <w:sz w:val="23"/>
                <w:szCs w:val="23"/>
                <w:lang w:val="es-MX"/>
              </w:rPr>
              <w:t>với cơ sở đất tại Hangar số 6 Cảng hàng không Quốc tế Tân Sơn Nhất (</w:t>
            </w:r>
            <w:r w:rsidRPr="007C1EF6">
              <w:rPr>
                <w:sz w:val="23"/>
                <w:szCs w:val="23"/>
                <w:lang w:val="nl-BE"/>
              </w:rPr>
              <w:t>Tổng công ty Hàng không Việt Nam - CTCP</w:t>
            </w:r>
            <w:r w:rsidRPr="007C1EF6">
              <w:rPr>
                <w:bCs/>
                <w:sz w:val="23"/>
                <w:szCs w:val="23"/>
                <w:lang w:val="es-MX"/>
              </w:rPr>
              <w:t>), cơ sở đất tại 46-48 Hậu Giang, Phường 4, quận Tân Bình, Thành phố Hồ Chí Minh (TCS).</w:t>
            </w:r>
          </w:p>
          <w:p w14:paraId="4BC47F29" w14:textId="3A548A11" w:rsidR="005C188D" w:rsidRPr="007C1EF6" w:rsidRDefault="005C188D" w:rsidP="0042173F">
            <w:pPr>
              <w:tabs>
                <w:tab w:val="left" w:leader="dot" w:pos="8900"/>
              </w:tabs>
              <w:ind w:right="68"/>
              <w:jc w:val="both"/>
              <w:rPr>
                <w:sz w:val="23"/>
                <w:szCs w:val="23"/>
                <w:lang w:val="pt-BR"/>
              </w:rPr>
            </w:pPr>
            <w:r w:rsidRPr="007C1EF6">
              <w:rPr>
                <w:sz w:val="23"/>
                <w:szCs w:val="23"/>
                <w:lang w:val="es-MX"/>
              </w:rPr>
              <w:t>- Trên cơ sở Văn bản số 6454/BTC-QLCS ngày 05/6/2008 của Bộ Tài chính, rà soát các thủ tục nhận bàn giao từ Tổng công ty Hàng không Việt Nam - CTCP đối với cơ sở nhà đất tại số 40 Lam Sơn và 13 Yên Thế, Phường 2, quận Tân Bình, Thành phố Hồ Chí Minh để quản lý, xử lý đảm bảo theo quy định pháp luật.</w:t>
            </w:r>
          </w:p>
        </w:tc>
      </w:tr>
      <w:tr w:rsidR="005C188D" w:rsidRPr="007C1EF6" w14:paraId="14C76224" w14:textId="77777777" w:rsidTr="005C188D">
        <w:trPr>
          <w:trHeight w:val="170"/>
          <w:jc w:val="center"/>
        </w:trPr>
        <w:tc>
          <w:tcPr>
            <w:tcW w:w="199" w:type="pct"/>
          </w:tcPr>
          <w:p w14:paraId="3055B03C" w14:textId="77777777" w:rsidR="005C188D" w:rsidRPr="007C1EF6" w:rsidRDefault="005C188D" w:rsidP="0042173F">
            <w:pPr>
              <w:pStyle w:val="ListParagraph"/>
              <w:widowControl w:val="0"/>
              <w:numPr>
                <w:ilvl w:val="0"/>
                <w:numId w:val="13"/>
              </w:numPr>
              <w:spacing w:after="0" w:line="240" w:lineRule="auto"/>
              <w:ind w:left="0" w:firstLine="82"/>
              <w:jc w:val="center"/>
              <w:rPr>
                <w:rFonts w:ascii="Times New Roman" w:hAnsi="Times New Roman"/>
                <w:sz w:val="23"/>
                <w:szCs w:val="23"/>
              </w:rPr>
            </w:pPr>
          </w:p>
        </w:tc>
        <w:tc>
          <w:tcPr>
            <w:tcW w:w="1221" w:type="pct"/>
          </w:tcPr>
          <w:p w14:paraId="6256CE01" w14:textId="6598ACC9" w:rsidR="005C188D" w:rsidRPr="007C1EF6" w:rsidRDefault="005C188D" w:rsidP="0042173F">
            <w:pPr>
              <w:ind w:right="238"/>
              <w:jc w:val="both"/>
              <w:rPr>
                <w:sz w:val="23"/>
                <w:szCs w:val="23"/>
              </w:rPr>
            </w:pPr>
            <w:r w:rsidRPr="007C1EF6">
              <w:rPr>
                <w:sz w:val="23"/>
                <w:szCs w:val="23"/>
                <w:lang w:val="es-MX"/>
              </w:rPr>
              <w:t>Chi cục thuế khu vực I</w:t>
            </w:r>
          </w:p>
        </w:tc>
        <w:tc>
          <w:tcPr>
            <w:tcW w:w="1601" w:type="pct"/>
          </w:tcPr>
          <w:p w14:paraId="3729DEE5" w14:textId="18520DB1" w:rsidR="005C188D" w:rsidRPr="007C1EF6" w:rsidRDefault="005C188D" w:rsidP="0042173F">
            <w:pPr>
              <w:ind w:right="31"/>
              <w:jc w:val="both"/>
              <w:rPr>
                <w:rFonts w:eastAsia="MS Mincho"/>
                <w:bCs/>
                <w:sz w:val="23"/>
                <w:szCs w:val="23"/>
                <w:lang w:val="pt-BR"/>
              </w:rPr>
            </w:pPr>
            <w:r w:rsidRPr="007C1EF6">
              <w:rPr>
                <w:rFonts w:eastAsia="MS Mincho"/>
                <w:bCs/>
                <w:sz w:val="23"/>
                <w:szCs w:val="23"/>
                <w:lang w:val="vi-VN"/>
              </w:rPr>
              <w:t>Báo cáo tài chính, các hoạt động liên quan đến quản lý, sử dụng vốn, tài sản nhà nước năm 202</w:t>
            </w:r>
            <w:r w:rsidRPr="007C1EF6">
              <w:rPr>
                <w:rFonts w:eastAsia="MS Mincho"/>
                <w:bCs/>
                <w:sz w:val="23"/>
                <w:szCs w:val="23"/>
              </w:rPr>
              <w:t>4</w:t>
            </w:r>
            <w:r w:rsidRPr="007C1EF6">
              <w:rPr>
                <w:rFonts w:eastAsia="MS Mincho"/>
                <w:bCs/>
                <w:sz w:val="23"/>
                <w:szCs w:val="23"/>
                <w:lang w:val="vi-VN"/>
              </w:rPr>
              <w:t xml:space="preserve"> của </w:t>
            </w:r>
            <w:r w:rsidRPr="007C1EF6">
              <w:rPr>
                <w:rFonts w:eastAsia="MS Mincho"/>
                <w:bCs/>
                <w:sz w:val="23"/>
                <w:szCs w:val="23"/>
              </w:rPr>
              <w:t>Tổng công ty Hàng không Việt Nam - CTCP</w:t>
            </w:r>
          </w:p>
        </w:tc>
        <w:tc>
          <w:tcPr>
            <w:tcW w:w="1980" w:type="pct"/>
          </w:tcPr>
          <w:p w14:paraId="5C58CB8F" w14:textId="2E9F5D9D" w:rsidR="005C188D" w:rsidRPr="007C1EF6" w:rsidRDefault="005C188D" w:rsidP="0042173F">
            <w:pPr>
              <w:tabs>
                <w:tab w:val="left" w:leader="dot" w:pos="8900"/>
              </w:tabs>
              <w:ind w:right="68"/>
              <w:jc w:val="both"/>
              <w:rPr>
                <w:sz w:val="23"/>
                <w:szCs w:val="23"/>
                <w:lang w:val="pt-BR"/>
              </w:rPr>
            </w:pPr>
            <w:r w:rsidRPr="007C1EF6">
              <w:rPr>
                <w:sz w:val="23"/>
                <w:szCs w:val="23"/>
                <w:lang w:val="es-MX"/>
              </w:rPr>
              <w:t>Đề nghị Chi cục Thuế Khu vực I phối hợp các cơ quan chức năng có liên quan xác định tiền thuê đất phải nộp bổ sung của Công ty TNHH Kỹ thuật máy bay từ năm 2023 trở về trước tương ứng với phần diện tích tăng thêm (2.117,39m</w:t>
            </w:r>
            <w:r w:rsidRPr="007C1EF6">
              <w:rPr>
                <w:sz w:val="23"/>
                <w:szCs w:val="23"/>
                <w:vertAlign w:val="superscript"/>
                <w:lang w:val="es-MX"/>
              </w:rPr>
              <w:t>2</w:t>
            </w:r>
            <w:r w:rsidRPr="007C1EF6">
              <w:rPr>
                <w:sz w:val="23"/>
                <w:szCs w:val="23"/>
                <w:lang w:val="es-MX"/>
              </w:rPr>
              <w:t xml:space="preserve">) đối với thửa đất </w:t>
            </w:r>
            <w:r w:rsidRPr="007C1EF6">
              <w:rPr>
                <w:sz w:val="23"/>
                <w:szCs w:val="23"/>
              </w:rPr>
              <w:t xml:space="preserve">tại </w:t>
            </w:r>
            <w:r w:rsidRPr="007C1EF6">
              <w:rPr>
                <w:sz w:val="23"/>
                <w:szCs w:val="23"/>
                <w:lang w:val="pt-BR"/>
              </w:rPr>
              <w:t>Sân bay Quốc tế Nội Bài, xã Phú Minh, huyện Sóc Sơn, Thành phố Hà Nội, được thuê</w:t>
            </w:r>
            <w:r w:rsidRPr="007C1EF6">
              <w:rPr>
                <w:sz w:val="23"/>
                <w:szCs w:val="23"/>
              </w:rPr>
              <w:t xml:space="preserve"> </w:t>
            </w:r>
            <w:r w:rsidRPr="007C1EF6">
              <w:rPr>
                <w:sz w:val="23"/>
                <w:szCs w:val="23"/>
                <w:lang w:val="de-DE"/>
              </w:rPr>
              <w:t xml:space="preserve">theo </w:t>
            </w:r>
            <w:r w:rsidRPr="007C1EF6">
              <w:rPr>
                <w:sz w:val="23"/>
                <w:szCs w:val="23"/>
                <w:lang w:val="pt-BR"/>
              </w:rPr>
              <w:t xml:space="preserve">Quyết </w:t>
            </w:r>
            <w:r w:rsidRPr="007C1EF6">
              <w:rPr>
                <w:sz w:val="23"/>
                <w:szCs w:val="23"/>
                <w:lang w:val="pt-BR"/>
              </w:rPr>
              <w:lastRenderedPageBreak/>
              <w:t xml:space="preserve">định số 22/QĐ-CVMB ngày 17/1/2024 của Cảng vụ Hàng không Miền Bắc </w:t>
            </w:r>
            <w:r w:rsidRPr="007C1EF6">
              <w:rPr>
                <w:sz w:val="23"/>
                <w:szCs w:val="23"/>
                <w:lang w:val="de-DE"/>
              </w:rPr>
              <w:t>sử dụng làm Hangar sửa chữa máy bay.</w:t>
            </w:r>
          </w:p>
        </w:tc>
      </w:tr>
      <w:tr w:rsidR="005C188D" w:rsidRPr="007C1EF6" w14:paraId="238F7337" w14:textId="77777777" w:rsidTr="005C188D">
        <w:trPr>
          <w:trHeight w:val="170"/>
          <w:jc w:val="center"/>
        </w:trPr>
        <w:tc>
          <w:tcPr>
            <w:tcW w:w="199" w:type="pct"/>
          </w:tcPr>
          <w:p w14:paraId="400CB1F4" w14:textId="77777777" w:rsidR="005C188D" w:rsidRPr="007C1EF6" w:rsidRDefault="005C188D" w:rsidP="0042173F">
            <w:pPr>
              <w:pStyle w:val="ListParagraph"/>
              <w:widowControl w:val="0"/>
              <w:numPr>
                <w:ilvl w:val="0"/>
                <w:numId w:val="13"/>
              </w:numPr>
              <w:spacing w:after="0" w:line="240" w:lineRule="auto"/>
              <w:ind w:left="0" w:firstLine="82"/>
              <w:jc w:val="center"/>
              <w:rPr>
                <w:rFonts w:ascii="Times New Roman" w:hAnsi="Times New Roman"/>
                <w:sz w:val="23"/>
                <w:szCs w:val="23"/>
              </w:rPr>
            </w:pPr>
          </w:p>
        </w:tc>
        <w:tc>
          <w:tcPr>
            <w:tcW w:w="1221" w:type="pct"/>
          </w:tcPr>
          <w:p w14:paraId="4213C44B" w14:textId="04349F21" w:rsidR="005C188D" w:rsidRPr="007C1EF6" w:rsidRDefault="005C188D" w:rsidP="0042173F">
            <w:pPr>
              <w:ind w:right="238"/>
              <w:jc w:val="both"/>
              <w:rPr>
                <w:sz w:val="23"/>
                <w:szCs w:val="23"/>
              </w:rPr>
            </w:pPr>
            <w:r w:rsidRPr="007C1EF6">
              <w:rPr>
                <w:sz w:val="23"/>
                <w:szCs w:val="23"/>
                <w:lang w:val="es-MX"/>
              </w:rPr>
              <w:t>Bộ Xây dựng</w:t>
            </w:r>
          </w:p>
        </w:tc>
        <w:tc>
          <w:tcPr>
            <w:tcW w:w="1601" w:type="pct"/>
          </w:tcPr>
          <w:p w14:paraId="0B5E453F" w14:textId="1EE40C7B" w:rsidR="005C188D" w:rsidRPr="007C1EF6" w:rsidRDefault="005C188D" w:rsidP="0042173F">
            <w:pPr>
              <w:ind w:right="31"/>
              <w:jc w:val="both"/>
              <w:rPr>
                <w:rFonts w:eastAsia="MS Mincho"/>
                <w:bCs/>
                <w:sz w:val="23"/>
                <w:szCs w:val="23"/>
                <w:lang w:val="pt-BR"/>
              </w:rPr>
            </w:pPr>
            <w:r w:rsidRPr="007C1EF6">
              <w:rPr>
                <w:rFonts w:eastAsia="MS Mincho"/>
                <w:bCs/>
                <w:sz w:val="23"/>
                <w:szCs w:val="23"/>
                <w:lang w:val="vi-VN"/>
              </w:rPr>
              <w:t>Báo cáo tài chính, các hoạt động liên quan đến quản lý, sử dụng vốn, tài sản nhà nước năm 202</w:t>
            </w:r>
            <w:r w:rsidRPr="007C1EF6">
              <w:rPr>
                <w:rFonts w:eastAsia="MS Mincho"/>
                <w:bCs/>
                <w:sz w:val="23"/>
                <w:szCs w:val="23"/>
              </w:rPr>
              <w:t>4</w:t>
            </w:r>
            <w:r w:rsidRPr="007C1EF6">
              <w:rPr>
                <w:rFonts w:eastAsia="MS Mincho"/>
                <w:bCs/>
                <w:sz w:val="23"/>
                <w:szCs w:val="23"/>
                <w:lang w:val="vi-VN"/>
              </w:rPr>
              <w:t xml:space="preserve"> của </w:t>
            </w:r>
            <w:r w:rsidRPr="007C1EF6">
              <w:rPr>
                <w:rFonts w:eastAsia="MS Mincho"/>
                <w:bCs/>
                <w:sz w:val="23"/>
                <w:szCs w:val="23"/>
              </w:rPr>
              <w:t>Tổng công ty Hàng không Việt Nam - CTCP</w:t>
            </w:r>
          </w:p>
        </w:tc>
        <w:tc>
          <w:tcPr>
            <w:tcW w:w="1980" w:type="pct"/>
          </w:tcPr>
          <w:p w14:paraId="3A9326C1" w14:textId="5449AAF7" w:rsidR="005C188D" w:rsidRPr="007C1EF6" w:rsidRDefault="005C188D" w:rsidP="0042173F">
            <w:pPr>
              <w:tabs>
                <w:tab w:val="left" w:leader="dot" w:pos="8900"/>
              </w:tabs>
              <w:ind w:right="68"/>
              <w:jc w:val="both"/>
              <w:rPr>
                <w:sz w:val="23"/>
                <w:szCs w:val="23"/>
                <w:lang w:val="pt-BR"/>
              </w:rPr>
            </w:pPr>
            <w:r w:rsidRPr="007C1EF6">
              <w:rPr>
                <w:bCs/>
                <w:sz w:val="23"/>
                <w:szCs w:val="23"/>
                <w:lang w:val="nl-BE"/>
              </w:rPr>
              <w:t>Phối hợp với các cơ quan nhà nước có liên quan kiểm tra, rà soát việc thu hồi 11.144 m</w:t>
            </w:r>
            <w:r w:rsidRPr="007C1EF6">
              <w:rPr>
                <w:bCs/>
                <w:sz w:val="23"/>
                <w:szCs w:val="23"/>
                <w:vertAlign w:val="superscript"/>
                <w:lang w:val="nl-BE"/>
              </w:rPr>
              <w:t>2</w:t>
            </w:r>
            <w:r w:rsidRPr="007C1EF6">
              <w:rPr>
                <w:bCs/>
                <w:sz w:val="23"/>
                <w:szCs w:val="23"/>
                <w:lang w:val="nl-BE"/>
              </w:rPr>
              <w:t xml:space="preserve"> đất thuộc khu số 9 theo quy hoạch Cảng Hàng không quốc tế Nội Bài tại Quyết định số 2065/QĐ-CVMB ngày 10/12/2014 của Cảng vụ Hàng không Miền Bắc; nếu có sai sót thì xử lý theo quy định của pháp luật.</w:t>
            </w:r>
          </w:p>
        </w:tc>
      </w:tr>
      <w:tr w:rsidR="005C188D" w:rsidRPr="007C1EF6" w14:paraId="3B3D8114" w14:textId="77777777" w:rsidTr="005C188D">
        <w:trPr>
          <w:trHeight w:val="170"/>
          <w:jc w:val="center"/>
        </w:trPr>
        <w:tc>
          <w:tcPr>
            <w:tcW w:w="199" w:type="pct"/>
          </w:tcPr>
          <w:p w14:paraId="5143D6E0" w14:textId="77777777" w:rsidR="005C188D" w:rsidRPr="007C1EF6" w:rsidRDefault="005C188D" w:rsidP="0042173F">
            <w:pPr>
              <w:pStyle w:val="ListParagraph"/>
              <w:widowControl w:val="0"/>
              <w:numPr>
                <w:ilvl w:val="0"/>
                <w:numId w:val="13"/>
              </w:numPr>
              <w:spacing w:after="0" w:line="240" w:lineRule="auto"/>
              <w:ind w:left="0" w:firstLine="82"/>
              <w:jc w:val="center"/>
              <w:rPr>
                <w:rFonts w:ascii="Times New Roman" w:hAnsi="Times New Roman"/>
                <w:sz w:val="23"/>
                <w:szCs w:val="23"/>
              </w:rPr>
            </w:pPr>
          </w:p>
        </w:tc>
        <w:tc>
          <w:tcPr>
            <w:tcW w:w="1221" w:type="pct"/>
          </w:tcPr>
          <w:p w14:paraId="32973DAC" w14:textId="4B2121CB" w:rsidR="005C188D" w:rsidRPr="007C1EF6" w:rsidRDefault="005C188D" w:rsidP="0042173F">
            <w:pPr>
              <w:ind w:right="238"/>
              <w:jc w:val="both"/>
              <w:rPr>
                <w:sz w:val="23"/>
                <w:szCs w:val="23"/>
              </w:rPr>
            </w:pPr>
            <w:r w:rsidRPr="007C1EF6">
              <w:rPr>
                <w:sz w:val="23"/>
                <w:szCs w:val="23"/>
                <w:lang w:val="nl-NL"/>
              </w:rPr>
              <w:t>Bộ Tài chính</w:t>
            </w:r>
          </w:p>
        </w:tc>
        <w:tc>
          <w:tcPr>
            <w:tcW w:w="1601" w:type="pct"/>
          </w:tcPr>
          <w:p w14:paraId="6F25B158" w14:textId="26DBF69F" w:rsidR="005C188D" w:rsidRPr="007C1EF6" w:rsidRDefault="005C188D" w:rsidP="0042173F">
            <w:pPr>
              <w:ind w:right="31"/>
              <w:jc w:val="both"/>
              <w:rPr>
                <w:rFonts w:eastAsia="MS Mincho"/>
                <w:bCs/>
                <w:sz w:val="23"/>
                <w:szCs w:val="23"/>
                <w:lang w:val="pt-BR"/>
              </w:rPr>
            </w:pPr>
            <w:r w:rsidRPr="007C1EF6">
              <w:rPr>
                <w:rFonts w:eastAsia="MS Mincho"/>
                <w:bCs/>
                <w:sz w:val="23"/>
                <w:szCs w:val="23"/>
              </w:rPr>
              <w:t>B</w:t>
            </w:r>
            <w:r w:rsidRPr="007C1EF6">
              <w:rPr>
                <w:rFonts w:eastAsia="MS Mincho"/>
                <w:bCs/>
                <w:sz w:val="23"/>
                <w:szCs w:val="23"/>
                <w:lang w:val="vi-VN"/>
              </w:rPr>
              <w:t xml:space="preserve">áo cáo tài chính, các hoạt động liên quan đến quản lý, sử dụng vốn, tài sản nhà nước năm 2024 của Tập đoàn Bưu chính </w:t>
            </w:r>
            <w:r w:rsidRPr="007C1EF6">
              <w:rPr>
                <w:rFonts w:eastAsia="MS Mincho"/>
                <w:bCs/>
                <w:sz w:val="23"/>
                <w:szCs w:val="23"/>
                <w:lang w:val="es-MX"/>
              </w:rPr>
              <w:t>v</w:t>
            </w:r>
            <w:r w:rsidRPr="007C1EF6">
              <w:rPr>
                <w:rFonts w:eastAsia="MS Mincho"/>
                <w:bCs/>
                <w:sz w:val="23"/>
                <w:szCs w:val="23"/>
                <w:lang w:val="vi-VN"/>
              </w:rPr>
              <w:t>iễn thông Việt Nam</w:t>
            </w:r>
          </w:p>
        </w:tc>
        <w:tc>
          <w:tcPr>
            <w:tcW w:w="1980" w:type="pct"/>
          </w:tcPr>
          <w:p w14:paraId="7A08A8AD" w14:textId="77777777" w:rsidR="005C188D" w:rsidRPr="007C1EF6" w:rsidRDefault="005C188D" w:rsidP="0042173F">
            <w:pPr>
              <w:tabs>
                <w:tab w:val="left" w:leader="dot" w:pos="8900"/>
              </w:tabs>
              <w:ind w:right="68"/>
              <w:jc w:val="both"/>
              <w:rPr>
                <w:b/>
                <w:sz w:val="23"/>
                <w:szCs w:val="23"/>
                <w:lang w:val="nl-NL"/>
              </w:rPr>
            </w:pPr>
            <w:r w:rsidRPr="007C1EF6">
              <w:rPr>
                <w:sz w:val="23"/>
                <w:szCs w:val="23"/>
                <w:lang w:val="it-IT"/>
              </w:rPr>
              <w:t>- Chỉ đạo Chi cục thuế Doanh nghiệp lớn phối hợp với VNPT-Net xác định rõ thuế suất thuế GTGT áp dụng đối với Dịch vụ cho thuê kênh thuê riêng quốc tế (IPLC - International Private Leased Circuit) và bán dung lượng trên các phân đoạn cáp quang biển quốc tế có một đầu tại Trạm cập bờ Việt Nam, một đầu tại Trạm kết nối ở nước ngoài với các đối tác nước ngoài. Trường hợp Chi cục thuế Doanh nghiệp lớn xác định thuế suất thuế GTGT áp dụng đối với dịch vụ nêu trên khác với thuế suất thuế GTGT VNPT-Net đang áp dụng (0%) thì hướng dẫn VNPT-Net kê khai, tính nộp bổ sung nghĩa vụ thuế vào Ngân sách nhà nước theo quy định (nếu có).</w:t>
            </w:r>
          </w:p>
          <w:p w14:paraId="393BE1B8" w14:textId="5F90E709" w:rsidR="005C188D" w:rsidRPr="007C1EF6" w:rsidRDefault="005C188D" w:rsidP="0042173F">
            <w:pPr>
              <w:tabs>
                <w:tab w:val="left" w:leader="dot" w:pos="8900"/>
              </w:tabs>
              <w:ind w:right="68"/>
              <w:jc w:val="both"/>
              <w:rPr>
                <w:sz w:val="23"/>
                <w:szCs w:val="23"/>
                <w:lang w:val="it-IT"/>
              </w:rPr>
            </w:pPr>
            <w:r w:rsidRPr="007C1EF6">
              <w:rPr>
                <w:sz w:val="23"/>
                <w:szCs w:val="23"/>
                <w:lang w:val="nl-NL"/>
              </w:rPr>
              <w:t xml:space="preserve">- Tổ chức kiểm tra, rà soát đối với các hành vi có thể dẫn đến lãng phí trong việc </w:t>
            </w:r>
            <w:r w:rsidRPr="007C1EF6">
              <w:rPr>
                <w:sz w:val="23"/>
                <w:szCs w:val="23"/>
                <w:lang w:val="it-IT"/>
              </w:rPr>
              <w:t xml:space="preserve">chậm đưa đất vào sử dụng theo quyết định giao đất, hợp đồng thuê đất </w:t>
            </w:r>
            <w:r w:rsidRPr="007C1EF6">
              <w:rPr>
                <w:sz w:val="23"/>
                <w:szCs w:val="23"/>
                <w:lang w:val="es-MX"/>
              </w:rPr>
              <w:t>đã chỉ ra qua kiểm toán tại VNPT</w:t>
            </w:r>
            <w:r w:rsidRPr="007C1EF6">
              <w:rPr>
                <w:sz w:val="23"/>
                <w:szCs w:val="23"/>
                <w:lang w:val="it-IT"/>
              </w:rPr>
              <w:t xml:space="preserve">. Trong trường hợp qua kiểm tra, rà soát các sai sót này có gây lãng phí thì đề nghị làm rõ nguyên nhân và trách nhiệm để xử lý theo quy định của pháp luật và có biện pháp khắc phục kịp thời, </w:t>
            </w:r>
            <w:r w:rsidRPr="007C1EF6">
              <w:rPr>
                <w:sz w:val="23"/>
                <w:szCs w:val="23"/>
                <w:lang w:val="es-MX"/>
              </w:rPr>
              <w:t>nhằm ngăn chặn hành vi gây lãng phí</w:t>
            </w:r>
            <w:r w:rsidRPr="007C1EF6">
              <w:rPr>
                <w:sz w:val="23"/>
                <w:szCs w:val="23"/>
                <w:lang w:val="it-IT"/>
              </w:rPr>
              <w:t>.</w:t>
            </w:r>
          </w:p>
          <w:p w14:paraId="494F26D6" w14:textId="77777777" w:rsidR="005C188D" w:rsidRPr="007C1EF6" w:rsidRDefault="005C188D" w:rsidP="0042173F">
            <w:pPr>
              <w:tabs>
                <w:tab w:val="left" w:leader="dot" w:pos="8900"/>
              </w:tabs>
              <w:ind w:right="68"/>
              <w:jc w:val="both"/>
              <w:rPr>
                <w:sz w:val="23"/>
                <w:szCs w:val="23"/>
                <w:lang w:val="nl-NL"/>
              </w:rPr>
            </w:pPr>
            <w:r w:rsidRPr="007C1EF6">
              <w:rPr>
                <w:sz w:val="23"/>
                <w:szCs w:val="23"/>
                <w:lang w:val="nl-NL"/>
              </w:rPr>
              <w:t>- Thực hiện các thủ tục công bố kết quả xếp loại doanh nghiệp năm 2024 đối với Công ty mẹ VNPT theo đúng quy định của pháp luật.</w:t>
            </w:r>
          </w:p>
          <w:p w14:paraId="7C91B528" w14:textId="77777777" w:rsidR="005C188D" w:rsidRPr="007C1EF6" w:rsidRDefault="005C188D" w:rsidP="0042173F">
            <w:pPr>
              <w:tabs>
                <w:tab w:val="left" w:leader="dot" w:pos="8900"/>
              </w:tabs>
              <w:ind w:right="68"/>
              <w:jc w:val="both"/>
              <w:rPr>
                <w:sz w:val="23"/>
                <w:szCs w:val="23"/>
                <w:lang w:val="nl-NL"/>
              </w:rPr>
            </w:pPr>
            <w:r w:rsidRPr="007C1EF6">
              <w:rPr>
                <w:sz w:val="23"/>
                <w:szCs w:val="23"/>
                <w:lang w:val="nl-NL"/>
              </w:rPr>
              <w:t>- Có ý kiến hoặc phê duyệt phương án phân phối lợi nhuận, trích lập các quỹ năm 2024 của Công ty mẹ VNPT theo đúng quy định của pháp luật.</w:t>
            </w:r>
          </w:p>
          <w:p w14:paraId="14117036" w14:textId="7CDFC26D" w:rsidR="005C188D" w:rsidRPr="007C1EF6" w:rsidRDefault="005C188D" w:rsidP="0042173F">
            <w:pPr>
              <w:tabs>
                <w:tab w:val="left" w:leader="dot" w:pos="8900"/>
              </w:tabs>
              <w:ind w:right="68"/>
              <w:jc w:val="both"/>
              <w:rPr>
                <w:sz w:val="23"/>
                <w:szCs w:val="23"/>
                <w:lang w:val="pt-BR"/>
              </w:rPr>
            </w:pPr>
            <w:r w:rsidRPr="007C1EF6">
              <w:rPr>
                <w:sz w:val="23"/>
                <w:szCs w:val="23"/>
                <w:lang w:val="nl-NL"/>
              </w:rPr>
              <w:t>- Chỉ đạo VNPT</w:t>
            </w:r>
            <w:r w:rsidRPr="007C1EF6">
              <w:rPr>
                <w:sz w:val="23"/>
                <w:szCs w:val="23"/>
                <w:lang w:val="vi-VN"/>
              </w:rPr>
              <w:t xml:space="preserve"> thực hiện </w:t>
            </w:r>
            <w:r w:rsidRPr="007C1EF6">
              <w:rPr>
                <w:sz w:val="23"/>
                <w:szCs w:val="23"/>
                <w:lang w:val="nl-NL"/>
              </w:rPr>
              <w:t xml:space="preserve">nghiêm </w:t>
            </w:r>
            <w:r w:rsidRPr="007C1EF6">
              <w:rPr>
                <w:sz w:val="23"/>
                <w:szCs w:val="23"/>
                <w:lang w:val="vi-VN"/>
              </w:rPr>
              <w:t>các kiến nghị của Kiểm toán nhà nước tại Báo cáo kiểm toán này.</w:t>
            </w:r>
          </w:p>
        </w:tc>
      </w:tr>
      <w:tr w:rsidR="005C188D" w:rsidRPr="007C1EF6" w14:paraId="455E9B9F" w14:textId="77777777" w:rsidTr="005C188D">
        <w:trPr>
          <w:trHeight w:val="170"/>
          <w:jc w:val="center"/>
        </w:trPr>
        <w:tc>
          <w:tcPr>
            <w:tcW w:w="199" w:type="pct"/>
          </w:tcPr>
          <w:p w14:paraId="418DAE50" w14:textId="77777777" w:rsidR="005C188D" w:rsidRPr="007C1EF6" w:rsidRDefault="005C188D" w:rsidP="0042173F">
            <w:pPr>
              <w:pStyle w:val="ListParagraph"/>
              <w:widowControl w:val="0"/>
              <w:numPr>
                <w:ilvl w:val="0"/>
                <w:numId w:val="13"/>
              </w:numPr>
              <w:spacing w:after="0" w:line="240" w:lineRule="auto"/>
              <w:ind w:left="0" w:firstLine="82"/>
              <w:jc w:val="center"/>
              <w:rPr>
                <w:rFonts w:ascii="Times New Roman" w:hAnsi="Times New Roman"/>
                <w:sz w:val="23"/>
                <w:szCs w:val="23"/>
              </w:rPr>
            </w:pPr>
          </w:p>
        </w:tc>
        <w:tc>
          <w:tcPr>
            <w:tcW w:w="1221" w:type="pct"/>
          </w:tcPr>
          <w:p w14:paraId="736508ED" w14:textId="514F6B55" w:rsidR="005C188D" w:rsidRPr="007C1EF6" w:rsidRDefault="005C188D" w:rsidP="0042173F">
            <w:pPr>
              <w:ind w:right="238"/>
              <w:jc w:val="both"/>
              <w:rPr>
                <w:sz w:val="23"/>
                <w:szCs w:val="23"/>
              </w:rPr>
            </w:pPr>
            <w:r w:rsidRPr="007C1EF6">
              <w:rPr>
                <w:bCs/>
                <w:iCs/>
                <w:sz w:val="23"/>
                <w:szCs w:val="23"/>
                <w:lang w:val="nl-NL"/>
              </w:rPr>
              <w:t>UBND thành phố Hà Nội</w:t>
            </w:r>
          </w:p>
        </w:tc>
        <w:tc>
          <w:tcPr>
            <w:tcW w:w="1601" w:type="pct"/>
          </w:tcPr>
          <w:p w14:paraId="06147273" w14:textId="54FC23BA" w:rsidR="005C188D" w:rsidRPr="007C1EF6" w:rsidRDefault="005C188D" w:rsidP="0042173F">
            <w:pPr>
              <w:ind w:right="31"/>
              <w:jc w:val="both"/>
              <w:rPr>
                <w:rFonts w:eastAsia="MS Mincho"/>
                <w:bCs/>
                <w:sz w:val="23"/>
                <w:szCs w:val="23"/>
                <w:lang w:val="pt-BR"/>
              </w:rPr>
            </w:pPr>
            <w:r w:rsidRPr="007C1EF6">
              <w:rPr>
                <w:rFonts w:eastAsia="MS Mincho"/>
                <w:bCs/>
                <w:sz w:val="23"/>
                <w:szCs w:val="23"/>
                <w:lang w:val="vi-VN"/>
              </w:rPr>
              <w:t>Báo cáo tài chính, các hoạt động liên quan đến quản lý, sử dụng vốn, tài sản nhà nước năm 202</w:t>
            </w:r>
            <w:r w:rsidRPr="007C1EF6">
              <w:rPr>
                <w:rFonts w:eastAsia="MS Mincho"/>
                <w:bCs/>
                <w:sz w:val="23"/>
                <w:szCs w:val="23"/>
                <w:lang w:val="es-MX"/>
              </w:rPr>
              <w:t>4</w:t>
            </w:r>
            <w:r w:rsidRPr="007C1EF6">
              <w:rPr>
                <w:rFonts w:eastAsia="MS Mincho"/>
                <w:bCs/>
                <w:sz w:val="23"/>
                <w:szCs w:val="23"/>
                <w:lang w:val="vi-VN"/>
              </w:rPr>
              <w:t xml:space="preserve"> của Tổng công ty </w:t>
            </w:r>
            <w:r w:rsidRPr="007C1EF6">
              <w:rPr>
                <w:rFonts w:eastAsia="MS Mincho"/>
                <w:bCs/>
                <w:sz w:val="23"/>
                <w:szCs w:val="23"/>
                <w:lang w:val="es-MX"/>
              </w:rPr>
              <w:t>Xây dựng Hà Nội – CTCP</w:t>
            </w:r>
          </w:p>
        </w:tc>
        <w:tc>
          <w:tcPr>
            <w:tcW w:w="1980" w:type="pct"/>
          </w:tcPr>
          <w:p w14:paraId="59774D1D" w14:textId="0F651642" w:rsidR="005C188D" w:rsidRPr="007C1EF6" w:rsidRDefault="005C188D" w:rsidP="0042173F">
            <w:pPr>
              <w:tabs>
                <w:tab w:val="left" w:leader="dot" w:pos="8900"/>
              </w:tabs>
              <w:ind w:right="68"/>
              <w:jc w:val="both"/>
              <w:rPr>
                <w:sz w:val="23"/>
                <w:szCs w:val="23"/>
                <w:lang w:val="pt-BR"/>
              </w:rPr>
            </w:pPr>
            <w:r w:rsidRPr="007C1EF6">
              <w:rPr>
                <w:iCs/>
                <w:sz w:val="23"/>
                <w:szCs w:val="23"/>
                <w:lang w:val="nl-NL"/>
              </w:rPr>
              <w:t>Chỉ đạo các cơ quan, tổ chức có liên quan: (i) nhận bàn giao dứt điểm khu K, H thuộc Dự án Làng Quốc tế Thăng Long để quản lý, sử dụng theo đúng quyết định của Thủ tướng Chính phủ; (ii) Làm rõ quyền quản lý, sử dụng đối với diện tích sàn tầng 1,2 của các tòa khu B3, B5 Dự án Làng Quốc tế Thăng Long để cho Công ty mẹ - TCT Xây dựng Hà Nội và các đơn vị nhận vốn góp xác định rõ quyền quản lý, sử dụng; (iii) Xác định tiền sử dụng đất đối với ô đất N</w:t>
            </w:r>
            <w:r w:rsidRPr="007C1EF6">
              <w:rPr>
                <w:sz w:val="23"/>
                <w:szCs w:val="23"/>
                <w:lang w:val="es-MX"/>
              </w:rPr>
              <w:t>01,02-NG thuộc Dự án Đoàn ngoại giao của Công ty mẹ để tổ chức triển khai đầu tư, đưa đất vào sử dụng; (iv) xem xét xác định chính xác nghĩa vụ tài chính theo quy định tại Điều 2 Quyết định số 4578/QĐ-UBND ngày 03/10/2011 của Ủy ban nhân dân thành phố Hà Nội khi Dự án 2.6 Lê Văn Lương thay đổi chỉ tiêu quy hoạch tại Văn bản số 5350/QHKT-PAKT (P2) ngày 17/11/2015 của Sở Quy hoạch kiến trúc Hà Nội.</w:t>
            </w:r>
          </w:p>
        </w:tc>
      </w:tr>
      <w:tr w:rsidR="005C188D" w:rsidRPr="007C1EF6" w14:paraId="6138530E" w14:textId="77777777" w:rsidTr="005C188D">
        <w:trPr>
          <w:trHeight w:val="170"/>
          <w:jc w:val="center"/>
        </w:trPr>
        <w:tc>
          <w:tcPr>
            <w:tcW w:w="199" w:type="pct"/>
          </w:tcPr>
          <w:p w14:paraId="59850105" w14:textId="77777777" w:rsidR="005C188D" w:rsidRPr="007C1EF6" w:rsidRDefault="005C188D" w:rsidP="0042173F">
            <w:pPr>
              <w:pStyle w:val="ListParagraph"/>
              <w:widowControl w:val="0"/>
              <w:numPr>
                <w:ilvl w:val="0"/>
                <w:numId w:val="13"/>
              </w:numPr>
              <w:spacing w:after="0" w:line="240" w:lineRule="auto"/>
              <w:ind w:left="0" w:firstLine="82"/>
              <w:jc w:val="center"/>
              <w:rPr>
                <w:rFonts w:ascii="Times New Roman" w:hAnsi="Times New Roman"/>
                <w:sz w:val="23"/>
                <w:szCs w:val="23"/>
              </w:rPr>
            </w:pPr>
          </w:p>
        </w:tc>
        <w:tc>
          <w:tcPr>
            <w:tcW w:w="1221" w:type="pct"/>
          </w:tcPr>
          <w:p w14:paraId="5E8509FC" w14:textId="7025401E" w:rsidR="005C188D" w:rsidRPr="007C1EF6" w:rsidRDefault="005C188D" w:rsidP="0042173F">
            <w:pPr>
              <w:ind w:right="238"/>
              <w:jc w:val="both"/>
              <w:rPr>
                <w:sz w:val="23"/>
                <w:szCs w:val="23"/>
              </w:rPr>
            </w:pPr>
            <w:r w:rsidRPr="007C1EF6">
              <w:rPr>
                <w:bCs/>
                <w:sz w:val="23"/>
                <w:szCs w:val="23"/>
                <w:lang w:val="es-MX"/>
              </w:rPr>
              <w:t>UBND tỉnh Đồng Nai</w:t>
            </w:r>
          </w:p>
        </w:tc>
        <w:tc>
          <w:tcPr>
            <w:tcW w:w="1601" w:type="pct"/>
          </w:tcPr>
          <w:p w14:paraId="30DCFB57" w14:textId="18F4A6E0" w:rsidR="005C188D" w:rsidRPr="007C1EF6" w:rsidRDefault="005C188D" w:rsidP="0042173F">
            <w:pPr>
              <w:ind w:right="31"/>
              <w:jc w:val="both"/>
              <w:rPr>
                <w:rFonts w:eastAsia="MS Mincho"/>
                <w:bCs/>
                <w:sz w:val="23"/>
                <w:szCs w:val="23"/>
                <w:lang w:val="pt-BR"/>
              </w:rPr>
            </w:pPr>
            <w:r w:rsidRPr="007C1EF6">
              <w:rPr>
                <w:rFonts w:eastAsia="MS Mincho"/>
                <w:bCs/>
                <w:sz w:val="23"/>
                <w:szCs w:val="23"/>
                <w:lang w:val="vi-VN"/>
              </w:rPr>
              <w:t>Báo cáo tài chính, các hoạt động liên quan đến quản lý, sử dụng vốn, tài sản nhà nước năm 202</w:t>
            </w:r>
            <w:r w:rsidRPr="007C1EF6">
              <w:rPr>
                <w:rFonts w:eastAsia="MS Mincho"/>
                <w:bCs/>
                <w:sz w:val="23"/>
                <w:szCs w:val="23"/>
                <w:lang w:val="es-MX"/>
              </w:rPr>
              <w:t>4</w:t>
            </w:r>
            <w:r w:rsidRPr="007C1EF6">
              <w:rPr>
                <w:rFonts w:eastAsia="MS Mincho"/>
                <w:bCs/>
                <w:sz w:val="23"/>
                <w:szCs w:val="23"/>
                <w:lang w:val="vi-VN"/>
              </w:rPr>
              <w:t xml:space="preserve"> của Tổng công ty </w:t>
            </w:r>
            <w:r w:rsidRPr="007C1EF6">
              <w:rPr>
                <w:rFonts w:eastAsia="MS Mincho"/>
                <w:bCs/>
                <w:sz w:val="23"/>
                <w:szCs w:val="23"/>
                <w:lang w:val="es-MX"/>
              </w:rPr>
              <w:t>Xây dựng Hà Nội – CTCP</w:t>
            </w:r>
          </w:p>
        </w:tc>
        <w:tc>
          <w:tcPr>
            <w:tcW w:w="1980" w:type="pct"/>
          </w:tcPr>
          <w:p w14:paraId="28A2F693" w14:textId="559FE762" w:rsidR="005C188D" w:rsidRPr="007C1EF6" w:rsidRDefault="005C188D" w:rsidP="0042173F">
            <w:pPr>
              <w:tabs>
                <w:tab w:val="left" w:leader="dot" w:pos="8900"/>
              </w:tabs>
              <w:ind w:right="68"/>
              <w:jc w:val="both"/>
              <w:rPr>
                <w:sz w:val="23"/>
                <w:szCs w:val="23"/>
                <w:lang w:val="pt-BR"/>
              </w:rPr>
            </w:pPr>
            <w:bookmarkStart w:id="6" w:name="_Hlk208894034"/>
            <w:r w:rsidRPr="007C1EF6">
              <w:rPr>
                <w:iCs/>
                <w:sz w:val="23"/>
                <w:szCs w:val="23"/>
                <w:lang w:val="nl-NL"/>
              </w:rPr>
              <w:t xml:space="preserve">Đề nghị UBND Đồng Nai </w:t>
            </w:r>
            <w:bookmarkEnd w:id="6"/>
            <w:r w:rsidRPr="007C1EF6">
              <w:rPr>
                <w:iCs/>
                <w:sz w:val="23"/>
                <w:szCs w:val="23"/>
                <w:lang w:val="nl-NL"/>
              </w:rPr>
              <w:t xml:space="preserve">phối hợp với Bộ Xây dựng, </w:t>
            </w:r>
            <w:bookmarkStart w:id="7" w:name="_Hlk208894071"/>
            <w:r w:rsidRPr="007C1EF6">
              <w:rPr>
                <w:iCs/>
                <w:sz w:val="23"/>
                <w:szCs w:val="23"/>
                <w:lang w:val="nl-NL"/>
              </w:rPr>
              <w:t>Tổng công ty Xây dựng Hà Nội - CTCP</w:t>
            </w:r>
            <w:bookmarkEnd w:id="7"/>
            <w:r w:rsidRPr="007C1EF6">
              <w:rPr>
                <w:iCs/>
                <w:sz w:val="23"/>
                <w:szCs w:val="23"/>
                <w:lang w:val="nl-NL"/>
              </w:rPr>
              <w:t xml:space="preserve"> và các cơ quan có liên quan giải quyết dứt điểm khoản tiền sử dụng đất, tiền bồi thường hỗ trợ tái định cư, tiền đầu tư xây dựng hạ tầng tạm tính của các lô đất UBND tỉnh Đồng Nai đã thu hồi tại Dự án Khu dân cư Long Thọ - Phước An, Nhơn Trạch, Đồng Nai của Tổng công ty.</w:t>
            </w:r>
          </w:p>
        </w:tc>
      </w:tr>
      <w:tr w:rsidR="005C188D" w:rsidRPr="007C1EF6" w14:paraId="415A751C" w14:textId="77777777" w:rsidTr="005C188D">
        <w:trPr>
          <w:trHeight w:val="170"/>
          <w:jc w:val="center"/>
        </w:trPr>
        <w:tc>
          <w:tcPr>
            <w:tcW w:w="199" w:type="pct"/>
          </w:tcPr>
          <w:p w14:paraId="48D71C66" w14:textId="77777777" w:rsidR="005C188D" w:rsidRPr="007C1EF6" w:rsidRDefault="005C188D" w:rsidP="0042173F">
            <w:pPr>
              <w:pStyle w:val="ListParagraph"/>
              <w:widowControl w:val="0"/>
              <w:numPr>
                <w:ilvl w:val="0"/>
                <w:numId w:val="13"/>
              </w:numPr>
              <w:spacing w:after="0" w:line="240" w:lineRule="auto"/>
              <w:ind w:left="0" w:firstLine="82"/>
              <w:jc w:val="center"/>
              <w:rPr>
                <w:rFonts w:ascii="Times New Roman" w:hAnsi="Times New Roman"/>
                <w:sz w:val="23"/>
                <w:szCs w:val="23"/>
              </w:rPr>
            </w:pPr>
          </w:p>
        </w:tc>
        <w:tc>
          <w:tcPr>
            <w:tcW w:w="1221" w:type="pct"/>
          </w:tcPr>
          <w:p w14:paraId="7F694680" w14:textId="2C46BC51" w:rsidR="005C188D" w:rsidRPr="007C1EF6" w:rsidRDefault="005C188D" w:rsidP="0042173F">
            <w:pPr>
              <w:ind w:right="238"/>
              <w:jc w:val="both"/>
              <w:rPr>
                <w:sz w:val="23"/>
                <w:szCs w:val="23"/>
              </w:rPr>
            </w:pPr>
            <w:r w:rsidRPr="007C1EF6">
              <w:rPr>
                <w:sz w:val="23"/>
                <w:szCs w:val="23"/>
                <w:lang w:val="pt-BR"/>
              </w:rPr>
              <w:t>Bộ Xây dựng</w:t>
            </w:r>
          </w:p>
        </w:tc>
        <w:tc>
          <w:tcPr>
            <w:tcW w:w="1601" w:type="pct"/>
          </w:tcPr>
          <w:p w14:paraId="04C2875A" w14:textId="7CB29000" w:rsidR="005C188D" w:rsidRPr="007C1EF6" w:rsidRDefault="005C188D" w:rsidP="0042173F">
            <w:pPr>
              <w:ind w:right="31"/>
              <w:jc w:val="both"/>
              <w:rPr>
                <w:rFonts w:eastAsia="MS Mincho"/>
                <w:bCs/>
                <w:sz w:val="23"/>
                <w:szCs w:val="23"/>
                <w:lang w:val="pt-BR"/>
              </w:rPr>
            </w:pPr>
            <w:r w:rsidRPr="007C1EF6">
              <w:rPr>
                <w:rFonts w:eastAsia="MS Mincho"/>
                <w:bCs/>
                <w:sz w:val="23"/>
                <w:szCs w:val="23"/>
                <w:lang w:val="vi-VN"/>
              </w:rPr>
              <w:t>Báo cáo tài chính, các hoạt động liên quan đến quản lý, sử dụng vốn, tài sản nhà nước năm 202</w:t>
            </w:r>
            <w:r w:rsidRPr="007C1EF6">
              <w:rPr>
                <w:rFonts w:eastAsia="MS Mincho"/>
                <w:bCs/>
                <w:sz w:val="23"/>
                <w:szCs w:val="23"/>
                <w:lang w:val="es-MX"/>
              </w:rPr>
              <w:t>4</w:t>
            </w:r>
            <w:r w:rsidRPr="007C1EF6">
              <w:rPr>
                <w:rFonts w:eastAsia="MS Mincho"/>
                <w:bCs/>
                <w:sz w:val="23"/>
                <w:szCs w:val="23"/>
                <w:lang w:val="vi-VN"/>
              </w:rPr>
              <w:t xml:space="preserve"> của Tổng công ty </w:t>
            </w:r>
            <w:r w:rsidRPr="007C1EF6">
              <w:rPr>
                <w:rFonts w:eastAsia="MS Mincho"/>
                <w:bCs/>
                <w:sz w:val="23"/>
                <w:szCs w:val="23"/>
                <w:lang w:val="es-MX"/>
              </w:rPr>
              <w:t>Xây dựng Hà Nội – CTCP</w:t>
            </w:r>
          </w:p>
        </w:tc>
        <w:tc>
          <w:tcPr>
            <w:tcW w:w="1980" w:type="pct"/>
          </w:tcPr>
          <w:p w14:paraId="35CF3C12" w14:textId="691A06DB" w:rsidR="005C188D" w:rsidRPr="007C1EF6" w:rsidRDefault="005C188D" w:rsidP="0042173F">
            <w:pPr>
              <w:tabs>
                <w:tab w:val="left" w:leader="dot" w:pos="8900"/>
              </w:tabs>
              <w:ind w:right="68"/>
              <w:jc w:val="both"/>
              <w:rPr>
                <w:sz w:val="23"/>
                <w:szCs w:val="23"/>
                <w:lang w:val="pt-BR"/>
              </w:rPr>
            </w:pPr>
            <w:bookmarkStart w:id="8" w:name="_Hlk208892959"/>
            <w:r w:rsidRPr="007C1EF6">
              <w:rPr>
                <w:iCs/>
                <w:sz w:val="23"/>
                <w:szCs w:val="23"/>
                <w:lang w:val="nl-NL"/>
              </w:rPr>
              <w:t>Đề nghị Bộ Xây dựng chủ trì</w:t>
            </w:r>
            <w:bookmarkEnd w:id="8"/>
            <w:r w:rsidRPr="007C1EF6">
              <w:rPr>
                <w:iCs/>
                <w:sz w:val="23"/>
                <w:szCs w:val="23"/>
                <w:lang w:val="nl-NL"/>
              </w:rPr>
              <w:t xml:space="preserve">, phối hợp với UBND tỉnh Đồng Nai, Tổng công ty Xây dựng Hà Nội - CTCP và các cơ quan có liên quan </w:t>
            </w:r>
            <w:bookmarkStart w:id="9" w:name="_Hlk209179748"/>
            <w:r w:rsidRPr="007C1EF6">
              <w:rPr>
                <w:iCs/>
                <w:sz w:val="23"/>
                <w:szCs w:val="23"/>
                <w:lang w:val="nl-NL"/>
              </w:rPr>
              <w:t xml:space="preserve">giải quyết dứt điểm </w:t>
            </w:r>
            <w:bookmarkStart w:id="10" w:name="_Hlk209179607"/>
            <w:bookmarkEnd w:id="9"/>
            <w:r w:rsidRPr="007C1EF6">
              <w:rPr>
                <w:iCs/>
                <w:sz w:val="23"/>
                <w:szCs w:val="23"/>
                <w:lang w:val="nl-NL"/>
              </w:rPr>
              <w:t>khoản tiền sử dụng đất, tiền bồi thường hỗ trợ tái định cư, tiền đầu tư xây dựng hạ tầng tạm tính của các lô đất UBND tỉnh Đồng Nai đã thu hồi tại Dự án Khu dân cư Long Thọ - Phước An, Nhơn Trạch, Đồng Nai của Tổng công ty.</w:t>
            </w:r>
            <w:bookmarkEnd w:id="10"/>
            <w:r w:rsidRPr="007C1EF6">
              <w:rPr>
                <w:iCs/>
                <w:sz w:val="23"/>
                <w:szCs w:val="23"/>
                <w:lang w:val="nl-NL"/>
              </w:rPr>
              <w:t xml:space="preserve"> Trường hợp vướng mắc khó khăn báo cáo cấp có thẩm quyền xem xét, xử lý theo quy định.</w:t>
            </w:r>
          </w:p>
        </w:tc>
      </w:tr>
      <w:tr w:rsidR="005C188D" w:rsidRPr="007C1EF6" w14:paraId="29F2E0AC" w14:textId="77777777" w:rsidTr="005C188D">
        <w:trPr>
          <w:trHeight w:val="170"/>
          <w:jc w:val="center"/>
        </w:trPr>
        <w:tc>
          <w:tcPr>
            <w:tcW w:w="199" w:type="pct"/>
          </w:tcPr>
          <w:p w14:paraId="464B85E5" w14:textId="77777777" w:rsidR="005C188D" w:rsidRPr="007C1EF6" w:rsidRDefault="005C188D" w:rsidP="0042173F">
            <w:pPr>
              <w:pStyle w:val="ListParagraph"/>
              <w:widowControl w:val="0"/>
              <w:numPr>
                <w:ilvl w:val="0"/>
                <w:numId w:val="13"/>
              </w:numPr>
              <w:spacing w:after="0" w:line="240" w:lineRule="auto"/>
              <w:ind w:left="0" w:firstLine="82"/>
              <w:jc w:val="center"/>
              <w:rPr>
                <w:rFonts w:ascii="Times New Roman" w:hAnsi="Times New Roman"/>
                <w:sz w:val="23"/>
                <w:szCs w:val="23"/>
              </w:rPr>
            </w:pPr>
          </w:p>
        </w:tc>
        <w:tc>
          <w:tcPr>
            <w:tcW w:w="1221" w:type="pct"/>
          </w:tcPr>
          <w:p w14:paraId="5A5C6A0C" w14:textId="5F688745" w:rsidR="005C188D" w:rsidRPr="007C1EF6" w:rsidRDefault="005C188D" w:rsidP="0042173F">
            <w:pPr>
              <w:ind w:right="238"/>
              <w:jc w:val="both"/>
              <w:rPr>
                <w:sz w:val="23"/>
                <w:szCs w:val="23"/>
              </w:rPr>
            </w:pPr>
            <w:r w:rsidRPr="007C1EF6">
              <w:rPr>
                <w:sz w:val="23"/>
                <w:szCs w:val="23"/>
                <w:lang w:val="de-DE"/>
              </w:rPr>
              <w:t>Bộ Tài chính</w:t>
            </w:r>
          </w:p>
        </w:tc>
        <w:tc>
          <w:tcPr>
            <w:tcW w:w="1601" w:type="pct"/>
          </w:tcPr>
          <w:p w14:paraId="265D2F9E" w14:textId="08A71432" w:rsidR="005C188D" w:rsidRPr="007C1EF6" w:rsidRDefault="005C188D" w:rsidP="0042173F">
            <w:pPr>
              <w:ind w:right="31"/>
              <w:jc w:val="both"/>
              <w:rPr>
                <w:rFonts w:eastAsia="MS Mincho"/>
                <w:bCs/>
                <w:sz w:val="23"/>
                <w:szCs w:val="23"/>
                <w:lang w:val="pt-BR"/>
              </w:rPr>
            </w:pPr>
            <w:r w:rsidRPr="007C1EF6">
              <w:rPr>
                <w:sz w:val="23"/>
                <w:szCs w:val="23"/>
              </w:rPr>
              <w:t>B</w:t>
            </w:r>
            <w:r w:rsidRPr="007C1EF6">
              <w:rPr>
                <w:sz w:val="23"/>
                <w:szCs w:val="23"/>
                <w:lang w:val="vi-VN"/>
              </w:rPr>
              <w:t>áo cáo quyết toán ngân sách năm 2024 của Liên minh Hợp tác xã Việt Nam</w:t>
            </w:r>
          </w:p>
        </w:tc>
        <w:tc>
          <w:tcPr>
            <w:tcW w:w="1980" w:type="pct"/>
          </w:tcPr>
          <w:p w14:paraId="5FF89165" w14:textId="32A9B73F" w:rsidR="005C188D" w:rsidRPr="007C1EF6" w:rsidRDefault="005C188D" w:rsidP="0042173F">
            <w:pPr>
              <w:tabs>
                <w:tab w:val="left" w:leader="dot" w:pos="8900"/>
              </w:tabs>
              <w:ind w:right="68"/>
              <w:jc w:val="both"/>
              <w:rPr>
                <w:sz w:val="23"/>
                <w:szCs w:val="23"/>
                <w:lang w:val="pt-BR"/>
              </w:rPr>
            </w:pPr>
            <w:r w:rsidRPr="007C1EF6">
              <w:rPr>
                <w:rFonts w:eastAsia="Arial"/>
                <w:noProof/>
                <w:sz w:val="23"/>
                <w:szCs w:val="23"/>
                <w:lang w:val="de-DE"/>
              </w:rPr>
              <w:t xml:space="preserve">Đề nghị Bộ Tài chính khẩn trương </w:t>
            </w:r>
            <w:r w:rsidRPr="007C1EF6">
              <w:rPr>
                <w:iCs/>
                <w:sz w:val="23"/>
                <w:szCs w:val="23"/>
                <w:lang w:val="de-DE"/>
              </w:rPr>
              <w:t xml:space="preserve">thẩm tra và ra thông báo theo quy định tại điểm d, Điều 29 Nghị định số 99/2021/NĐ-CP ngày 11/11/2021 của Chính phủ quy định </w:t>
            </w:r>
            <w:r w:rsidRPr="007C1EF6">
              <w:rPr>
                <w:iCs/>
                <w:sz w:val="23"/>
                <w:szCs w:val="23"/>
                <w:lang w:val="de-DE"/>
              </w:rPr>
              <w:lastRenderedPageBreak/>
              <w:t>về quản lý, thanh toán, quyết toán dự án sử dụng vốn đầu tư công.</w:t>
            </w:r>
          </w:p>
        </w:tc>
      </w:tr>
      <w:tr w:rsidR="005C188D" w:rsidRPr="007C1EF6" w14:paraId="52EA50A5" w14:textId="77777777" w:rsidTr="005C188D">
        <w:trPr>
          <w:trHeight w:val="170"/>
          <w:jc w:val="center"/>
        </w:trPr>
        <w:tc>
          <w:tcPr>
            <w:tcW w:w="199" w:type="pct"/>
          </w:tcPr>
          <w:p w14:paraId="65A1EEDD" w14:textId="77777777" w:rsidR="005C188D" w:rsidRPr="007C1EF6" w:rsidRDefault="005C188D" w:rsidP="0042173F">
            <w:pPr>
              <w:pStyle w:val="ListParagraph"/>
              <w:widowControl w:val="0"/>
              <w:numPr>
                <w:ilvl w:val="0"/>
                <w:numId w:val="13"/>
              </w:numPr>
              <w:spacing w:after="0" w:line="240" w:lineRule="auto"/>
              <w:ind w:left="0" w:firstLine="82"/>
              <w:jc w:val="center"/>
              <w:rPr>
                <w:rFonts w:ascii="Times New Roman" w:hAnsi="Times New Roman"/>
                <w:sz w:val="23"/>
                <w:szCs w:val="23"/>
              </w:rPr>
            </w:pPr>
          </w:p>
        </w:tc>
        <w:tc>
          <w:tcPr>
            <w:tcW w:w="1221" w:type="pct"/>
          </w:tcPr>
          <w:p w14:paraId="10557FF6" w14:textId="5B4EDCA0" w:rsidR="005C188D" w:rsidRPr="007C1EF6" w:rsidRDefault="005C188D" w:rsidP="0042173F">
            <w:pPr>
              <w:ind w:right="238"/>
              <w:jc w:val="both"/>
              <w:rPr>
                <w:sz w:val="23"/>
                <w:szCs w:val="23"/>
              </w:rPr>
            </w:pPr>
            <w:r w:rsidRPr="007C1EF6">
              <w:rPr>
                <w:sz w:val="23"/>
                <w:szCs w:val="23"/>
                <w:lang w:val="de-DE"/>
              </w:rPr>
              <w:t>Bộ Tài chính</w:t>
            </w:r>
          </w:p>
        </w:tc>
        <w:tc>
          <w:tcPr>
            <w:tcW w:w="1601" w:type="pct"/>
          </w:tcPr>
          <w:p w14:paraId="7B72BC37" w14:textId="0393F0A8" w:rsidR="005C188D" w:rsidRPr="007C1EF6" w:rsidRDefault="005C188D" w:rsidP="0042173F">
            <w:pPr>
              <w:ind w:right="31"/>
              <w:jc w:val="both"/>
              <w:rPr>
                <w:sz w:val="23"/>
                <w:szCs w:val="23"/>
                <w:lang w:val="vi-VN"/>
              </w:rPr>
            </w:pPr>
            <w:r w:rsidRPr="007C1EF6">
              <w:rPr>
                <w:sz w:val="23"/>
                <w:szCs w:val="23"/>
              </w:rPr>
              <w:t>Việc quản lý, sử dụng tài chính công, tài sản công năm 2024; Chuyên đề việc quản lý, sử dụng sắp xếp lại và xử lý nhà, đất theo Nghị định số 167/2017/NĐ-CP ngày 31/12/2017 và Nghị định số 67/2021/NĐ-CP ngày 15/7/2021 tại Bộ</w:t>
            </w:r>
            <w:r w:rsidRPr="007C1EF6">
              <w:rPr>
                <w:sz w:val="23"/>
                <w:szCs w:val="23"/>
                <w:lang w:val="vi-VN"/>
              </w:rPr>
              <w:t xml:space="preserve"> Giáo dục và Đào tạo</w:t>
            </w:r>
          </w:p>
          <w:p w14:paraId="3B1AB485" w14:textId="77777777" w:rsidR="005C188D" w:rsidRPr="007C1EF6" w:rsidRDefault="005C188D" w:rsidP="0042173F">
            <w:pPr>
              <w:ind w:right="31"/>
              <w:jc w:val="both"/>
              <w:rPr>
                <w:rFonts w:eastAsia="MS Mincho"/>
                <w:bCs/>
                <w:sz w:val="23"/>
                <w:szCs w:val="23"/>
                <w:lang w:val="pt-BR"/>
              </w:rPr>
            </w:pPr>
          </w:p>
        </w:tc>
        <w:tc>
          <w:tcPr>
            <w:tcW w:w="1980" w:type="pct"/>
          </w:tcPr>
          <w:p w14:paraId="7BAB7EDE" w14:textId="77777777" w:rsidR="005C188D" w:rsidRPr="007C1EF6" w:rsidRDefault="005C188D" w:rsidP="0042173F">
            <w:pPr>
              <w:pBdr>
                <w:top w:val="dotted" w:sz="4" w:space="0" w:color="FFFFFF"/>
                <w:left w:val="dotted" w:sz="4" w:space="12" w:color="FFFFFF"/>
                <w:bottom w:val="dotted" w:sz="4" w:space="31" w:color="FFFFFF"/>
                <w:right w:val="dotted" w:sz="4" w:space="0" w:color="FFFFFF"/>
              </w:pBdr>
              <w:jc w:val="both"/>
              <w:rPr>
                <w:sz w:val="23"/>
                <w:szCs w:val="23"/>
              </w:rPr>
            </w:pPr>
            <w:r w:rsidRPr="007C1EF6">
              <w:rPr>
                <w:sz w:val="23"/>
                <w:szCs w:val="23"/>
              </w:rPr>
              <w:t xml:space="preserve">- Đề nghị Bộ Tài chính khi xét duyệt quyết toán NSNN năm 2024 của Bộ GDĐT lưu ý xem xét các nội dung KTNN đã kiến nghị tại báo cáo kiểm toán tài chính công, tài sản công năm 2024 như sau: </w:t>
            </w:r>
          </w:p>
          <w:p w14:paraId="7D2EF245" w14:textId="77777777" w:rsidR="005C188D" w:rsidRPr="007C1EF6" w:rsidRDefault="005C188D" w:rsidP="0042173F">
            <w:pPr>
              <w:pBdr>
                <w:top w:val="dotted" w:sz="4" w:space="0" w:color="FFFFFF"/>
                <w:left w:val="dotted" w:sz="4" w:space="12" w:color="FFFFFF"/>
                <w:bottom w:val="dotted" w:sz="4" w:space="31" w:color="FFFFFF"/>
                <w:right w:val="dotted" w:sz="4" w:space="0" w:color="FFFFFF"/>
              </w:pBdr>
              <w:jc w:val="both"/>
              <w:rPr>
                <w:sz w:val="23"/>
                <w:szCs w:val="23"/>
              </w:rPr>
            </w:pPr>
            <w:r w:rsidRPr="007C1EF6">
              <w:rPr>
                <w:sz w:val="23"/>
                <w:szCs w:val="23"/>
              </w:rPr>
              <w:t xml:space="preserve">+ Xác định mức giảm tỷ lệ phần trăm chi hỗ trợ trực tiếp từ NSNN đối với các đơn vị tự chủ nhóm 3 trực thuộc Bộ GDĐT. </w:t>
            </w:r>
          </w:p>
          <w:p w14:paraId="0D11495D" w14:textId="77777777" w:rsidR="005C188D" w:rsidRPr="007C1EF6" w:rsidRDefault="005C188D" w:rsidP="0042173F">
            <w:pPr>
              <w:pBdr>
                <w:top w:val="dotted" w:sz="4" w:space="0" w:color="FFFFFF"/>
                <w:left w:val="dotted" w:sz="4" w:space="12" w:color="FFFFFF"/>
                <w:bottom w:val="dotted" w:sz="4" w:space="31" w:color="FFFFFF"/>
                <w:right w:val="dotted" w:sz="4" w:space="0" w:color="FFFFFF"/>
              </w:pBdr>
              <w:jc w:val="both"/>
              <w:rPr>
                <w:sz w:val="23"/>
                <w:szCs w:val="23"/>
              </w:rPr>
            </w:pPr>
            <w:r w:rsidRPr="007C1EF6">
              <w:rPr>
                <w:sz w:val="23"/>
                <w:szCs w:val="23"/>
              </w:rPr>
              <w:t>+ Việc quyết toán một số khoản chi của dự toán đã được phân bổ 42.353trđ chưa phù hợp do đã có trong định mức phân bổ dự toán chi quản lý nhà nước theo tiêu chí biên chế quy định tại Quyết định số 30/2021/QĐ-TTg.</w:t>
            </w:r>
          </w:p>
          <w:p w14:paraId="0A8C15FB" w14:textId="6B3837D8" w:rsidR="005C188D" w:rsidRPr="007C1EF6" w:rsidRDefault="005C188D" w:rsidP="0042173F">
            <w:pPr>
              <w:tabs>
                <w:tab w:val="left" w:leader="dot" w:pos="8900"/>
              </w:tabs>
              <w:ind w:right="68"/>
              <w:jc w:val="both"/>
              <w:rPr>
                <w:sz w:val="23"/>
                <w:szCs w:val="23"/>
                <w:lang w:val="pt-BR"/>
              </w:rPr>
            </w:pPr>
            <w:r w:rsidRPr="007C1EF6">
              <w:rPr>
                <w:sz w:val="23"/>
                <w:szCs w:val="23"/>
              </w:rPr>
              <w:t>- Rà soát, làm rõ trách nhiệm tổng hợp báo cáo quyết toán năm 2024 đối với 10 đơn vị sự nghiệp trực thuộc Bộ Xây dựng được sáp nhập về Bộ LĐTBXH (sau đó được sáp nhập về Bộ GDĐT) để quyết toán kinh phí năm 2024 theo quy định. Trong đó, lưu ý xử lý số kinh phí NSNN cấp thừa nguồn cải cách tiền lương của 10 đơn vị, số tiền 4.223.494.798 đồng từ kết quả kiểm toán theo đúng quy định.</w:t>
            </w:r>
          </w:p>
        </w:tc>
      </w:tr>
      <w:tr w:rsidR="005C188D" w:rsidRPr="007C1EF6" w14:paraId="1A6391DC" w14:textId="77777777" w:rsidTr="005C188D">
        <w:trPr>
          <w:trHeight w:val="170"/>
          <w:jc w:val="center"/>
        </w:trPr>
        <w:tc>
          <w:tcPr>
            <w:tcW w:w="199" w:type="pct"/>
          </w:tcPr>
          <w:p w14:paraId="02249C5E" w14:textId="77777777" w:rsidR="005C188D" w:rsidRPr="007C1EF6" w:rsidRDefault="005C188D" w:rsidP="0042173F">
            <w:pPr>
              <w:pStyle w:val="ListParagraph"/>
              <w:widowControl w:val="0"/>
              <w:numPr>
                <w:ilvl w:val="0"/>
                <w:numId w:val="13"/>
              </w:numPr>
              <w:spacing w:after="0" w:line="240" w:lineRule="auto"/>
              <w:ind w:left="0" w:firstLine="82"/>
              <w:jc w:val="center"/>
              <w:rPr>
                <w:rFonts w:ascii="Times New Roman" w:hAnsi="Times New Roman"/>
                <w:sz w:val="23"/>
                <w:szCs w:val="23"/>
              </w:rPr>
            </w:pPr>
          </w:p>
        </w:tc>
        <w:tc>
          <w:tcPr>
            <w:tcW w:w="1221" w:type="pct"/>
          </w:tcPr>
          <w:p w14:paraId="518F6E21" w14:textId="6CD8A9E2" w:rsidR="005C188D" w:rsidRPr="007C1EF6" w:rsidRDefault="005C188D" w:rsidP="0042173F">
            <w:pPr>
              <w:ind w:right="238"/>
              <w:jc w:val="both"/>
              <w:rPr>
                <w:sz w:val="23"/>
                <w:szCs w:val="23"/>
              </w:rPr>
            </w:pPr>
            <w:r w:rsidRPr="007C1EF6">
              <w:rPr>
                <w:rFonts w:eastAsia="MS Mincho"/>
                <w:sz w:val="23"/>
                <w:szCs w:val="23"/>
                <w:lang w:val="de-DE"/>
              </w:rPr>
              <w:t>Bộ Xây dựng</w:t>
            </w:r>
          </w:p>
        </w:tc>
        <w:tc>
          <w:tcPr>
            <w:tcW w:w="1601" w:type="pct"/>
          </w:tcPr>
          <w:p w14:paraId="0680D9BC" w14:textId="2EC1F9AB" w:rsidR="005C188D" w:rsidRPr="007C1EF6" w:rsidRDefault="005C188D" w:rsidP="0042173F">
            <w:pPr>
              <w:ind w:right="31"/>
              <w:jc w:val="both"/>
              <w:rPr>
                <w:rFonts w:eastAsia="MS Mincho"/>
                <w:bCs/>
                <w:sz w:val="23"/>
                <w:szCs w:val="23"/>
                <w:lang w:val="pt-BR"/>
              </w:rPr>
            </w:pPr>
            <w:r w:rsidRPr="007C1EF6">
              <w:rPr>
                <w:sz w:val="23"/>
                <w:szCs w:val="23"/>
              </w:rPr>
              <w:t>V</w:t>
            </w:r>
            <w:r w:rsidRPr="007C1EF6">
              <w:rPr>
                <w:sz w:val="23"/>
                <w:szCs w:val="23"/>
                <w:lang w:val="vi-VN"/>
              </w:rPr>
              <w:t>iệc quản lý, sử dụng tài chính công, tài sản công năm 202</w:t>
            </w:r>
            <w:r w:rsidRPr="007C1EF6">
              <w:rPr>
                <w:sz w:val="23"/>
                <w:szCs w:val="23"/>
              </w:rPr>
              <w:t>4</w:t>
            </w:r>
            <w:r w:rsidRPr="007C1EF6">
              <w:rPr>
                <w:sz w:val="23"/>
                <w:szCs w:val="23"/>
                <w:lang w:val="vi-VN"/>
              </w:rPr>
              <w:t xml:space="preserve">; </w:t>
            </w:r>
            <w:r w:rsidRPr="007C1EF6">
              <w:rPr>
                <w:sz w:val="23"/>
                <w:szCs w:val="23"/>
              </w:rPr>
              <w:t>Chuyên đề việc quản lý, sử dụng, sắp xếp lại và xử lý nhà đất theo Nghị định 167/2017/NĐ-CP ngày 31/12/2017 và Nghị định số 67/2021/NĐ-CP ngày 15/7/2021 tại Đại học Quốc gia thành phố Hồ Chí Minh</w:t>
            </w:r>
          </w:p>
        </w:tc>
        <w:tc>
          <w:tcPr>
            <w:tcW w:w="1980" w:type="pct"/>
          </w:tcPr>
          <w:p w14:paraId="182DC170" w14:textId="727BF314" w:rsidR="005C188D" w:rsidRPr="007C1EF6" w:rsidRDefault="005C188D" w:rsidP="0042173F">
            <w:pPr>
              <w:tabs>
                <w:tab w:val="left" w:leader="dot" w:pos="8900"/>
              </w:tabs>
              <w:ind w:right="68"/>
              <w:jc w:val="both"/>
              <w:rPr>
                <w:sz w:val="23"/>
                <w:szCs w:val="23"/>
                <w:lang w:val="pt-BR"/>
              </w:rPr>
            </w:pPr>
            <w:r w:rsidRPr="007C1EF6">
              <w:rPr>
                <w:sz w:val="23"/>
                <w:szCs w:val="23"/>
                <w:lang w:val="haw-US"/>
              </w:rPr>
              <w:t xml:space="preserve">Bộ Xây dựng hướng dẫn, kiểm tra ĐHQG-HCM triển khai thực hiện theo đồ án Quy hoạch phân khu xây dựng ĐHQG-HCM được duyệt tuân thủ đúng quy định của pháp luật theo khoản 3 Điều 2 </w:t>
            </w:r>
            <w:bookmarkStart w:id="11" w:name="_Hlk198268847"/>
            <w:r w:rsidRPr="007C1EF6">
              <w:rPr>
                <w:sz w:val="23"/>
                <w:szCs w:val="23"/>
                <w:lang w:val="haw-US"/>
              </w:rPr>
              <w:t xml:space="preserve">Quyết định số 790/QĐ-TTg ngày 03/7/2023 </w:t>
            </w:r>
            <w:bookmarkEnd w:id="11"/>
            <w:r w:rsidRPr="007C1EF6">
              <w:rPr>
                <w:sz w:val="23"/>
                <w:szCs w:val="23"/>
                <w:lang w:val="haw-US"/>
              </w:rPr>
              <w:t xml:space="preserve">của Thủ tướng Chính phủ về việc Phê duyệt quy hoạch phân khu xây dựng ĐHQG-HCM; </w:t>
            </w:r>
            <w:r w:rsidRPr="007C1EF6">
              <w:rPr>
                <w:sz w:val="23"/>
                <w:szCs w:val="23"/>
                <w:lang w:val="vi-VN"/>
              </w:rPr>
              <w:t>lưu ý các trường hợp dự án đầu tư xây dựng đã được thực hiện khi chưa được Bộ Xây dựng phê duyệt quy hoạch chi tiết 1/500 để đảm bảo theo quy định.</w:t>
            </w:r>
          </w:p>
        </w:tc>
      </w:tr>
      <w:tr w:rsidR="005C188D" w:rsidRPr="007C1EF6" w14:paraId="1B7A38C9" w14:textId="77777777" w:rsidTr="005C188D">
        <w:trPr>
          <w:trHeight w:val="170"/>
          <w:jc w:val="center"/>
        </w:trPr>
        <w:tc>
          <w:tcPr>
            <w:tcW w:w="199" w:type="pct"/>
          </w:tcPr>
          <w:p w14:paraId="78DF65BB" w14:textId="77777777" w:rsidR="005C188D" w:rsidRPr="007C1EF6" w:rsidRDefault="005C188D" w:rsidP="0042173F">
            <w:pPr>
              <w:pStyle w:val="ListParagraph"/>
              <w:widowControl w:val="0"/>
              <w:numPr>
                <w:ilvl w:val="0"/>
                <w:numId w:val="13"/>
              </w:numPr>
              <w:spacing w:after="0" w:line="240" w:lineRule="auto"/>
              <w:ind w:left="0" w:firstLine="82"/>
              <w:jc w:val="center"/>
              <w:rPr>
                <w:rFonts w:ascii="Times New Roman" w:hAnsi="Times New Roman"/>
                <w:sz w:val="23"/>
                <w:szCs w:val="23"/>
              </w:rPr>
            </w:pPr>
          </w:p>
        </w:tc>
        <w:tc>
          <w:tcPr>
            <w:tcW w:w="1221" w:type="pct"/>
          </w:tcPr>
          <w:p w14:paraId="2D4EBBB5" w14:textId="7E7F0995" w:rsidR="005C188D" w:rsidRPr="007C1EF6" w:rsidRDefault="005C188D" w:rsidP="0042173F">
            <w:pPr>
              <w:ind w:right="238"/>
              <w:jc w:val="both"/>
              <w:rPr>
                <w:sz w:val="23"/>
                <w:szCs w:val="23"/>
              </w:rPr>
            </w:pPr>
            <w:r w:rsidRPr="007C1EF6">
              <w:rPr>
                <w:sz w:val="23"/>
                <w:szCs w:val="23"/>
                <w:lang w:val="de-DE"/>
              </w:rPr>
              <w:t>Bộ Tài chính</w:t>
            </w:r>
          </w:p>
        </w:tc>
        <w:tc>
          <w:tcPr>
            <w:tcW w:w="1601" w:type="pct"/>
          </w:tcPr>
          <w:p w14:paraId="4083E380" w14:textId="6A9F8DDD" w:rsidR="005C188D" w:rsidRPr="007C1EF6" w:rsidRDefault="005C188D" w:rsidP="0042173F">
            <w:pPr>
              <w:ind w:right="31"/>
              <w:jc w:val="both"/>
              <w:rPr>
                <w:rFonts w:eastAsia="MS Mincho"/>
                <w:bCs/>
                <w:sz w:val="23"/>
                <w:szCs w:val="23"/>
                <w:lang w:val="pt-BR"/>
              </w:rPr>
            </w:pPr>
            <w:r w:rsidRPr="007C1EF6">
              <w:rPr>
                <w:sz w:val="23"/>
                <w:szCs w:val="23"/>
                <w:lang w:val="de-DE"/>
              </w:rPr>
              <w:t>Báo cáo quyết toán ngân sách năm 2024 của Bộ Văn hóa, Thể thao và Du lịch</w:t>
            </w:r>
          </w:p>
        </w:tc>
        <w:tc>
          <w:tcPr>
            <w:tcW w:w="1980" w:type="pct"/>
          </w:tcPr>
          <w:p w14:paraId="1EBB69B0" w14:textId="0612577E" w:rsidR="005C188D" w:rsidRPr="007C1EF6" w:rsidRDefault="005C188D" w:rsidP="0042173F">
            <w:pPr>
              <w:tabs>
                <w:tab w:val="left" w:leader="dot" w:pos="8900"/>
              </w:tabs>
              <w:ind w:right="68"/>
              <w:jc w:val="both"/>
              <w:rPr>
                <w:sz w:val="23"/>
                <w:szCs w:val="23"/>
                <w:lang w:val="pt-BR"/>
              </w:rPr>
            </w:pPr>
            <w:r w:rsidRPr="007C1EF6">
              <w:rPr>
                <w:sz w:val="23"/>
                <w:szCs w:val="23"/>
                <w:lang w:val="vi-VN"/>
              </w:rPr>
              <w:t xml:space="preserve">Bộ Tài chính khi thẩm định quyết toán NSNN năm 2024 của Bộ VHTTDL lưu ý xem xét việc quyết toán một số khoản chi của dự toán đã được phân bổ 1.265.364.111 đồng </w:t>
            </w:r>
            <w:r w:rsidRPr="007C1EF6">
              <w:rPr>
                <w:sz w:val="23"/>
                <w:szCs w:val="23"/>
                <w:lang w:val="vi-VN"/>
              </w:rPr>
              <w:lastRenderedPageBreak/>
              <w:t>chưa phù hợp do đã có trong định mức phân bổ dự toán chi quản lý nhà nước theo tiêu chí biên chế quy định tại Quyết định số 30/2021/QĐ-TTg.</w:t>
            </w:r>
          </w:p>
        </w:tc>
      </w:tr>
      <w:tr w:rsidR="005C188D" w:rsidRPr="007C1EF6" w14:paraId="42C6D691" w14:textId="77777777" w:rsidTr="005C188D">
        <w:trPr>
          <w:trHeight w:val="170"/>
          <w:jc w:val="center"/>
        </w:trPr>
        <w:tc>
          <w:tcPr>
            <w:tcW w:w="199" w:type="pct"/>
          </w:tcPr>
          <w:p w14:paraId="3AE125B3" w14:textId="77777777" w:rsidR="005C188D" w:rsidRPr="007C1EF6" w:rsidRDefault="005C188D" w:rsidP="0042173F">
            <w:pPr>
              <w:pStyle w:val="ListParagraph"/>
              <w:widowControl w:val="0"/>
              <w:numPr>
                <w:ilvl w:val="0"/>
                <w:numId w:val="13"/>
              </w:numPr>
              <w:spacing w:after="0" w:line="240" w:lineRule="auto"/>
              <w:ind w:left="0" w:firstLine="82"/>
              <w:jc w:val="center"/>
              <w:rPr>
                <w:rFonts w:ascii="Times New Roman" w:hAnsi="Times New Roman"/>
                <w:sz w:val="23"/>
                <w:szCs w:val="23"/>
              </w:rPr>
            </w:pPr>
          </w:p>
        </w:tc>
        <w:tc>
          <w:tcPr>
            <w:tcW w:w="1221" w:type="pct"/>
          </w:tcPr>
          <w:p w14:paraId="6A702415" w14:textId="5C158704" w:rsidR="005C188D" w:rsidRPr="007C1EF6" w:rsidRDefault="005C188D" w:rsidP="0042173F">
            <w:pPr>
              <w:ind w:right="238"/>
              <w:jc w:val="both"/>
              <w:rPr>
                <w:sz w:val="23"/>
                <w:szCs w:val="23"/>
              </w:rPr>
            </w:pPr>
            <w:r w:rsidRPr="007C1EF6">
              <w:rPr>
                <w:sz w:val="23"/>
                <w:szCs w:val="23"/>
                <w:lang w:val="de-DE"/>
              </w:rPr>
              <w:t>Bộ Tài chính</w:t>
            </w:r>
          </w:p>
        </w:tc>
        <w:tc>
          <w:tcPr>
            <w:tcW w:w="1601" w:type="pct"/>
          </w:tcPr>
          <w:p w14:paraId="6B253495" w14:textId="40E9990B" w:rsidR="005C188D" w:rsidRPr="007C1EF6" w:rsidRDefault="005C188D" w:rsidP="0042173F">
            <w:pPr>
              <w:ind w:right="31"/>
              <w:jc w:val="both"/>
              <w:rPr>
                <w:rFonts w:eastAsia="MS Mincho"/>
                <w:bCs/>
                <w:sz w:val="23"/>
                <w:szCs w:val="23"/>
                <w:lang w:val="pt-BR"/>
              </w:rPr>
            </w:pPr>
            <w:r w:rsidRPr="007C1EF6">
              <w:rPr>
                <w:sz w:val="23"/>
                <w:szCs w:val="23"/>
                <w:lang w:val="de-DE"/>
              </w:rPr>
              <w:t>Báo cáo quyết toán ngân sách năm 2024 của Đài Tiếng nói Việt Nam</w:t>
            </w:r>
          </w:p>
        </w:tc>
        <w:tc>
          <w:tcPr>
            <w:tcW w:w="1980" w:type="pct"/>
          </w:tcPr>
          <w:p w14:paraId="0D5F3B1B" w14:textId="5CA106BF" w:rsidR="005C188D" w:rsidRPr="007C1EF6" w:rsidRDefault="005C188D" w:rsidP="0042173F">
            <w:pPr>
              <w:tabs>
                <w:tab w:val="left" w:leader="dot" w:pos="8900"/>
              </w:tabs>
              <w:ind w:right="68"/>
              <w:jc w:val="both"/>
              <w:rPr>
                <w:sz w:val="23"/>
                <w:szCs w:val="23"/>
                <w:lang w:val="pt-BR"/>
              </w:rPr>
            </w:pPr>
            <w:bookmarkStart w:id="12" w:name="_Hlk218759081"/>
            <w:r w:rsidRPr="007C1EF6">
              <w:rPr>
                <w:sz w:val="23"/>
                <w:szCs w:val="23"/>
              </w:rPr>
              <w:t xml:space="preserve">Đề nghị Bộ Tài chính khi </w:t>
            </w:r>
            <w:r w:rsidRPr="007C1EF6">
              <w:rPr>
                <w:rStyle w:val="Vnbnnidung"/>
                <w:sz w:val="23"/>
                <w:szCs w:val="23"/>
                <w:lang w:eastAsia="vi-VN"/>
              </w:rPr>
              <w:t>thẩm định quyết toán kinh</w:t>
            </w:r>
            <w:r w:rsidRPr="007C1EF6">
              <w:rPr>
                <w:rStyle w:val="Vnbnnidung"/>
                <w:sz w:val="23"/>
                <w:szCs w:val="23"/>
                <w:lang w:val="vi-VN" w:eastAsia="vi-VN"/>
              </w:rPr>
              <w:t xml:space="preserve"> phí</w:t>
            </w:r>
            <w:r w:rsidRPr="007C1EF6">
              <w:rPr>
                <w:rStyle w:val="Vnbnnidung"/>
                <w:sz w:val="23"/>
                <w:szCs w:val="23"/>
                <w:lang w:eastAsia="vi-VN"/>
              </w:rPr>
              <w:t xml:space="preserve"> hoạt động lưu ý: </w:t>
            </w:r>
            <w:r w:rsidRPr="007C1EF6">
              <w:rPr>
                <w:spacing w:val="-2"/>
                <w:sz w:val="23"/>
                <w:szCs w:val="23"/>
              </w:rPr>
              <w:t>Xem xét việc chuyển số dư tạm ứng kinh phí thực hiện Đề án cung ứng dịch vụ truyền hình theo Quyết định 929/QĐ-TTg ngày 03/8/2022 của Thủ tướng Chính phủ và phối hợp với các cơ quan có thẩm quyền thẩm định đơn giá, định mức sản xuất chương trình đặt hàng của 3 kênh truyền hình công ích năm 2024 để có đủ cơ sở quyết toán theo quy định 39.895.000.000 đồng.</w:t>
            </w:r>
            <w:bookmarkEnd w:id="12"/>
          </w:p>
        </w:tc>
      </w:tr>
      <w:tr w:rsidR="005C188D" w:rsidRPr="007C1EF6" w14:paraId="02B595CC" w14:textId="77777777" w:rsidTr="005C188D">
        <w:trPr>
          <w:trHeight w:val="170"/>
          <w:jc w:val="center"/>
        </w:trPr>
        <w:tc>
          <w:tcPr>
            <w:tcW w:w="199" w:type="pct"/>
          </w:tcPr>
          <w:p w14:paraId="612254C3" w14:textId="77777777" w:rsidR="005C188D" w:rsidRPr="007C1EF6" w:rsidRDefault="005C188D" w:rsidP="0042173F">
            <w:pPr>
              <w:pStyle w:val="ListParagraph"/>
              <w:widowControl w:val="0"/>
              <w:numPr>
                <w:ilvl w:val="0"/>
                <w:numId w:val="13"/>
              </w:numPr>
              <w:spacing w:after="0" w:line="240" w:lineRule="auto"/>
              <w:ind w:left="0" w:firstLine="82"/>
              <w:jc w:val="center"/>
              <w:rPr>
                <w:rFonts w:ascii="Times New Roman" w:hAnsi="Times New Roman"/>
                <w:sz w:val="23"/>
                <w:szCs w:val="23"/>
              </w:rPr>
            </w:pPr>
          </w:p>
        </w:tc>
        <w:tc>
          <w:tcPr>
            <w:tcW w:w="1221" w:type="pct"/>
          </w:tcPr>
          <w:p w14:paraId="7D1A9FBE" w14:textId="429C8BCA" w:rsidR="005C188D" w:rsidRPr="007C1EF6" w:rsidRDefault="005C188D" w:rsidP="0042173F">
            <w:pPr>
              <w:ind w:right="238"/>
              <w:jc w:val="both"/>
              <w:rPr>
                <w:sz w:val="23"/>
                <w:szCs w:val="23"/>
              </w:rPr>
            </w:pPr>
            <w:r w:rsidRPr="007C1EF6">
              <w:rPr>
                <w:sz w:val="23"/>
                <w:szCs w:val="23"/>
              </w:rPr>
              <w:t>Bộ Tài chính</w:t>
            </w:r>
          </w:p>
        </w:tc>
        <w:tc>
          <w:tcPr>
            <w:tcW w:w="1601" w:type="pct"/>
          </w:tcPr>
          <w:p w14:paraId="016F333D" w14:textId="5D5AED80" w:rsidR="005C188D" w:rsidRPr="007C1EF6" w:rsidRDefault="005C188D" w:rsidP="0042173F">
            <w:pPr>
              <w:ind w:right="31"/>
              <w:jc w:val="both"/>
              <w:rPr>
                <w:rFonts w:eastAsia="MS Mincho"/>
                <w:bCs/>
                <w:sz w:val="23"/>
                <w:szCs w:val="23"/>
                <w:highlight w:val="yellow"/>
                <w:lang w:val="pt-BR"/>
              </w:rPr>
            </w:pPr>
            <w:r w:rsidRPr="007C1EF6">
              <w:rPr>
                <w:noProof/>
                <w:sz w:val="23"/>
                <w:szCs w:val="23"/>
              </w:rPr>
              <w:t>Ngân sách địa phương năm 2024 của thành phố Hà Nội</w:t>
            </w:r>
          </w:p>
        </w:tc>
        <w:tc>
          <w:tcPr>
            <w:tcW w:w="1980" w:type="pct"/>
          </w:tcPr>
          <w:p w14:paraId="220D5E57" w14:textId="74B0E493" w:rsidR="005C188D" w:rsidRPr="007C1EF6" w:rsidRDefault="005C188D" w:rsidP="0042173F">
            <w:pPr>
              <w:tabs>
                <w:tab w:val="left" w:leader="dot" w:pos="8900"/>
              </w:tabs>
              <w:ind w:right="68"/>
              <w:jc w:val="both"/>
              <w:rPr>
                <w:sz w:val="23"/>
                <w:szCs w:val="23"/>
                <w:lang w:val="pt-BR"/>
              </w:rPr>
            </w:pPr>
            <w:r w:rsidRPr="007C1EF6">
              <w:rPr>
                <w:sz w:val="23"/>
                <w:szCs w:val="23"/>
              </w:rPr>
              <w:t>Kiểm tra, rà soát lại việc UBND thành phố Hà Nội báo cáo đề xuất kéo dài thời gian thực hiện và giải ngân kế hoạch đầu tư công vốn NSTW năm 2024 sang năm 2025 đối với 05 dự án chưa đúng với quy định của Công văn số 08/BKHĐT-TH ngày 14/02/2025 nhưng vẫn tổng hợp, báo cáo Thủ tướng Chính phủ và thông báo cho phép kéo dài tại Công văn số 7067/BTC-TH ngày 23/5/2025.</w:t>
            </w:r>
          </w:p>
        </w:tc>
      </w:tr>
      <w:tr w:rsidR="005C188D" w:rsidRPr="007C1EF6" w14:paraId="174BCC3B" w14:textId="77777777" w:rsidTr="005C188D">
        <w:trPr>
          <w:trHeight w:val="170"/>
          <w:jc w:val="center"/>
        </w:trPr>
        <w:tc>
          <w:tcPr>
            <w:tcW w:w="199" w:type="pct"/>
          </w:tcPr>
          <w:p w14:paraId="20FEFD94" w14:textId="77777777" w:rsidR="005C188D" w:rsidRPr="007C1EF6" w:rsidRDefault="005C188D" w:rsidP="0042173F">
            <w:pPr>
              <w:pStyle w:val="ListParagraph"/>
              <w:widowControl w:val="0"/>
              <w:numPr>
                <w:ilvl w:val="0"/>
                <w:numId w:val="13"/>
              </w:numPr>
              <w:spacing w:after="0" w:line="240" w:lineRule="auto"/>
              <w:ind w:left="0" w:firstLine="82"/>
              <w:jc w:val="center"/>
              <w:rPr>
                <w:rFonts w:ascii="Times New Roman" w:hAnsi="Times New Roman"/>
                <w:sz w:val="23"/>
                <w:szCs w:val="23"/>
              </w:rPr>
            </w:pPr>
          </w:p>
        </w:tc>
        <w:tc>
          <w:tcPr>
            <w:tcW w:w="1221" w:type="pct"/>
          </w:tcPr>
          <w:p w14:paraId="7152E12B" w14:textId="4DDA1752" w:rsidR="005C188D" w:rsidRPr="007C1EF6" w:rsidRDefault="005C188D" w:rsidP="0042173F">
            <w:pPr>
              <w:ind w:right="238"/>
              <w:jc w:val="both"/>
              <w:rPr>
                <w:sz w:val="23"/>
                <w:szCs w:val="23"/>
              </w:rPr>
            </w:pPr>
            <w:r w:rsidRPr="007C1EF6">
              <w:rPr>
                <w:bCs/>
                <w:iCs/>
                <w:sz w:val="23"/>
                <w:szCs w:val="23"/>
                <w:lang w:val="nl-NL"/>
              </w:rPr>
              <w:t>Thủ tướng Chính phủ</w:t>
            </w:r>
          </w:p>
        </w:tc>
        <w:tc>
          <w:tcPr>
            <w:tcW w:w="1601" w:type="pct"/>
          </w:tcPr>
          <w:p w14:paraId="139516A0" w14:textId="0BF1EF0A" w:rsidR="005C188D" w:rsidRPr="007C1EF6" w:rsidRDefault="005C188D" w:rsidP="0042173F">
            <w:pPr>
              <w:ind w:right="31"/>
              <w:jc w:val="both"/>
              <w:rPr>
                <w:rFonts w:eastAsia="MS Mincho"/>
                <w:bCs/>
                <w:sz w:val="23"/>
                <w:szCs w:val="23"/>
                <w:highlight w:val="yellow"/>
                <w:lang w:val="pt-BR"/>
              </w:rPr>
            </w:pPr>
            <w:r w:rsidRPr="007C1EF6">
              <w:rPr>
                <w:sz w:val="23"/>
                <w:szCs w:val="23"/>
                <w:lang w:val="vi-VN"/>
              </w:rPr>
              <w:t>Báo cáo quyết toán ngân sách địa phương năm 2024 của tỉnh Hà Nam và các chuyên đề lồng ghép</w:t>
            </w:r>
          </w:p>
        </w:tc>
        <w:tc>
          <w:tcPr>
            <w:tcW w:w="1980" w:type="pct"/>
          </w:tcPr>
          <w:p w14:paraId="5991B018" w14:textId="7A455CF1" w:rsidR="005C188D" w:rsidRPr="007C1EF6" w:rsidRDefault="005C188D" w:rsidP="0042173F">
            <w:pPr>
              <w:tabs>
                <w:tab w:val="left" w:leader="dot" w:pos="8900"/>
              </w:tabs>
              <w:ind w:right="68"/>
              <w:jc w:val="both"/>
              <w:rPr>
                <w:sz w:val="23"/>
                <w:szCs w:val="23"/>
                <w:lang w:val="pt-BR"/>
              </w:rPr>
            </w:pPr>
            <w:r w:rsidRPr="007C1EF6">
              <w:rPr>
                <w:sz w:val="23"/>
                <w:szCs w:val="23"/>
                <w:lang w:val="vi-VN"/>
              </w:rPr>
              <w:t>Chỉ đạo Bộ Khoa học và Công nghệ và Bộ Tài chính phối hợp rà soát, nghiên cứu để khắc phục tình trạng cùng một nội dung công việc (như nhập dữ liệu có cấu trúc, chuyển đổi thông tin (quét dữ liệu có sẵn),...) nhưng đơn giá lập theo quy định tại Quyết định số 1595/QĐ-BTTTT ngày 03/10/2011 của Bộ trưởng Bộ Thông tin và Truyền thông về “công bố định mức tạo lập cơ sở dữ liệu trong hoạt động ứng dụng công nghệ thông tin” cao hơn rất nhiều so với mức giá tối đa theo quy định tại Thông tư số 194/2012/TT-BTC ngày 15/11/2012 của Bộ Tài chính về “hướng dẫn mức chi tạo lập thông tin điện tử nhằm duy trì hoạt động thường xuyên của các cơ quan, đơn vị sử dụng ngân sách nhà nước”  – Hạn chế nêu tại mục 2.4.1 trang 26.</w:t>
            </w:r>
          </w:p>
        </w:tc>
      </w:tr>
      <w:tr w:rsidR="005C188D" w:rsidRPr="007C1EF6" w14:paraId="79018884" w14:textId="77777777" w:rsidTr="005C188D">
        <w:trPr>
          <w:trHeight w:val="170"/>
          <w:jc w:val="center"/>
        </w:trPr>
        <w:tc>
          <w:tcPr>
            <w:tcW w:w="199" w:type="pct"/>
          </w:tcPr>
          <w:p w14:paraId="3370DFFF" w14:textId="77777777" w:rsidR="005C188D" w:rsidRPr="007C1EF6" w:rsidRDefault="005C188D" w:rsidP="0042173F">
            <w:pPr>
              <w:pStyle w:val="ListParagraph"/>
              <w:widowControl w:val="0"/>
              <w:numPr>
                <w:ilvl w:val="0"/>
                <w:numId w:val="13"/>
              </w:numPr>
              <w:spacing w:after="0" w:line="240" w:lineRule="auto"/>
              <w:ind w:left="0" w:firstLine="82"/>
              <w:jc w:val="center"/>
              <w:rPr>
                <w:rFonts w:ascii="Times New Roman" w:hAnsi="Times New Roman"/>
                <w:sz w:val="23"/>
                <w:szCs w:val="23"/>
              </w:rPr>
            </w:pPr>
          </w:p>
        </w:tc>
        <w:tc>
          <w:tcPr>
            <w:tcW w:w="1221" w:type="pct"/>
          </w:tcPr>
          <w:p w14:paraId="0C4E15BA" w14:textId="26925316" w:rsidR="005C188D" w:rsidRPr="007C1EF6" w:rsidRDefault="005C188D" w:rsidP="0042173F">
            <w:pPr>
              <w:ind w:right="238"/>
              <w:jc w:val="both"/>
              <w:rPr>
                <w:sz w:val="23"/>
                <w:szCs w:val="23"/>
              </w:rPr>
            </w:pPr>
            <w:r w:rsidRPr="007C1EF6">
              <w:rPr>
                <w:sz w:val="23"/>
                <w:szCs w:val="23"/>
              </w:rPr>
              <w:t>Bộ Tài chính</w:t>
            </w:r>
          </w:p>
        </w:tc>
        <w:tc>
          <w:tcPr>
            <w:tcW w:w="1601" w:type="pct"/>
          </w:tcPr>
          <w:p w14:paraId="2AA43D1D" w14:textId="37607EEC" w:rsidR="005C188D" w:rsidRPr="007C1EF6" w:rsidRDefault="005C188D" w:rsidP="0042173F">
            <w:pPr>
              <w:ind w:right="31"/>
              <w:jc w:val="both"/>
              <w:rPr>
                <w:rFonts w:eastAsia="MS Mincho"/>
                <w:bCs/>
                <w:sz w:val="23"/>
                <w:szCs w:val="23"/>
                <w:highlight w:val="yellow"/>
                <w:lang w:val="pt-BR"/>
              </w:rPr>
            </w:pPr>
            <w:r w:rsidRPr="007C1EF6">
              <w:rPr>
                <w:rFonts w:eastAsia="MS Mincho"/>
                <w:bCs/>
                <w:sz w:val="23"/>
                <w:szCs w:val="23"/>
                <w:lang w:val="it-IT"/>
              </w:rPr>
              <w:t>Báo cáo quyết toán ngân sách địa phương năm 2024 của tỉnh Quảng Bình</w:t>
            </w:r>
          </w:p>
        </w:tc>
        <w:tc>
          <w:tcPr>
            <w:tcW w:w="1980" w:type="pct"/>
          </w:tcPr>
          <w:p w14:paraId="79C95261" w14:textId="0FE97920" w:rsidR="005C188D" w:rsidRPr="007C1EF6" w:rsidRDefault="005C188D" w:rsidP="0042173F">
            <w:pPr>
              <w:tabs>
                <w:tab w:val="left" w:leader="dot" w:pos="8900"/>
              </w:tabs>
              <w:ind w:right="68"/>
              <w:jc w:val="both"/>
              <w:rPr>
                <w:sz w:val="23"/>
                <w:szCs w:val="23"/>
                <w:lang w:val="pt-BR"/>
              </w:rPr>
            </w:pPr>
            <w:r w:rsidRPr="007C1EF6">
              <w:rPr>
                <w:sz w:val="23"/>
                <w:szCs w:val="23"/>
              </w:rPr>
              <w:t>Khi thẩm tra nhu cầu và nguồn thực hiện CCTL năm 2024 của tỉnh Quảng Bình (trước sáp nhập) thì sử dụng kết quả kiểm toán nhu cầu và nguồn thực hiện CCTL do Kiểm toán nhà nước xác định tại Báo cáo kiểm toán này.</w:t>
            </w:r>
          </w:p>
        </w:tc>
      </w:tr>
      <w:tr w:rsidR="005C188D" w:rsidRPr="007C1EF6" w14:paraId="46ACFC0F" w14:textId="77777777" w:rsidTr="005C188D">
        <w:trPr>
          <w:trHeight w:val="170"/>
          <w:jc w:val="center"/>
        </w:trPr>
        <w:tc>
          <w:tcPr>
            <w:tcW w:w="199" w:type="pct"/>
          </w:tcPr>
          <w:p w14:paraId="439286E3" w14:textId="77777777" w:rsidR="005C188D" w:rsidRPr="007C1EF6" w:rsidRDefault="005C188D" w:rsidP="0042173F">
            <w:pPr>
              <w:pStyle w:val="ListParagraph"/>
              <w:widowControl w:val="0"/>
              <w:numPr>
                <w:ilvl w:val="0"/>
                <w:numId w:val="13"/>
              </w:numPr>
              <w:spacing w:after="0" w:line="240" w:lineRule="auto"/>
              <w:ind w:left="0" w:firstLine="82"/>
              <w:jc w:val="center"/>
              <w:rPr>
                <w:rFonts w:ascii="Times New Roman" w:hAnsi="Times New Roman"/>
                <w:sz w:val="23"/>
                <w:szCs w:val="23"/>
              </w:rPr>
            </w:pPr>
          </w:p>
        </w:tc>
        <w:tc>
          <w:tcPr>
            <w:tcW w:w="1221" w:type="pct"/>
          </w:tcPr>
          <w:p w14:paraId="674D99A4" w14:textId="3088717A" w:rsidR="005C188D" w:rsidRPr="007C1EF6" w:rsidRDefault="005C188D" w:rsidP="0042173F">
            <w:pPr>
              <w:ind w:right="238"/>
              <w:jc w:val="both"/>
              <w:rPr>
                <w:sz w:val="23"/>
                <w:szCs w:val="23"/>
              </w:rPr>
            </w:pPr>
            <w:r w:rsidRPr="007C1EF6">
              <w:rPr>
                <w:sz w:val="23"/>
                <w:szCs w:val="23"/>
              </w:rPr>
              <w:t>Thủ tướng Chính phủ</w:t>
            </w:r>
          </w:p>
        </w:tc>
        <w:tc>
          <w:tcPr>
            <w:tcW w:w="1601" w:type="pct"/>
          </w:tcPr>
          <w:p w14:paraId="270C06FD" w14:textId="0B181EC1" w:rsidR="005C188D" w:rsidRPr="007C1EF6" w:rsidRDefault="005C188D" w:rsidP="0042173F">
            <w:pPr>
              <w:ind w:right="31"/>
              <w:jc w:val="both"/>
              <w:rPr>
                <w:rFonts w:eastAsia="MS Mincho"/>
                <w:bCs/>
                <w:sz w:val="23"/>
                <w:szCs w:val="23"/>
                <w:highlight w:val="yellow"/>
                <w:lang w:val="pt-BR"/>
              </w:rPr>
            </w:pPr>
            <w:r w:rsidRPr="007C1EF6">
              <w:rPr>
                <w:rFonts w:eastAsia="MS Mincho"/>
                <w:bCs/>
                <w:sz w:val="23"/>
                <w:szCs w:val="23"/>
                <w:lang w:val="it-IT"/>
              </w:rPr>
              <w:t>Chuyên đề việc đầu tư, ứng dụng phần mềm công nghệ thông tin, các hoạt động thuê dịch vụ công nghệ thông tin phục vụ chuyển đổi số giai đoạn 2021 - 2024 của tỉnh Quảng Bình (trước sáp nhập; nay là tỉnh Quảng Trị)</w:t>
            </w:r>
          </w:p>
        </w:tc>
        <w:tc>
          <w:tcPr>
            <w:tcW w:w="1980" w:type="pct"/>
          </w:tcPr>
          <w:p w14:paraId="3686B166" w14:textId="77777777" w:rsidR="005C188D" w:rsidRPr="007C1EF6" w:rsidRDefault="005C188D" w:rsidP="0042173F">
            <w:pPr>
              <w:jc w:val="both"/>
              <w:rPr>
                <w:sz w:val="23"/>
                <w:szCs w:val="23"/>
              </w:rPr>
            </w:pPr>
            <w:r w:rsidRPr="007C1EF6">
              <w:rPr>
                <w:sz w:val="23"/>
                <w:szCs w:val="23"/>
              </w:rPr>
              <w:t>- Chỉ đạo Bộ Khoa học và công nghệ rà soát Luật Công nghệ thông tin, Luật Giao dịch điện tử và các văn bản liên quan để nghiên cứu, xem xét bổ sung vào Luật các khái niệm và quy định pháp lý còn thiếu nhằm đảm bảo cơ sở pháp lý trong việc xây dựng, ban hành và triển khai các chính sách ứng dụng CNTT và chuyển đổi số, như: Chuyển đổi số, Chính phủ số, kinh tế số, xã hội số, nền tảng số, chia sẻ qua LGSP…</w:t>
            </w:r>
          </w:p>
          <w:p w14:paraId="685072E4" w14:textId="77777777" w:rsidR="005C188D" w:rsidRPr="007C1EF6" w:rsidRDefault="005C188D" w:rsidP="0042173F">
            <w:pPr>
              <w:jc w:val="both"/>
              <w:rPr>
                <w:sz w:val="23"/>
                <w:szCs w:val="23"/>
              </w:rPr>
            </w:pPr>
            <w:r w:rsidRPr="007C1EF6">
              <w:rPr>
                <w:sz w:val="23"/>
                <w:szCs w:val="23"/>
              </w:rPr>
              <w:t>- Chỉ đạo Bộ Tài chính phối hợp Bộ KHCN rà soát, sửa đổi, hoàn thiện và ban hành các định mức kinh tế kỹ thuật lĩnh vực ứng dụng CNTT và chuyển đổi số, trong đó:</w:t>
            </w:r>
          </w:p>
          <w:p w14:paraId="715470B0" w14:textId="77777777" w:rsidR="005C188D" w:rsidRPr="007C1EF6" w:rsidRDefault="005C188D" w:rsidP="0042173F">
            <w:pPr>
              <w:jc w:val="both"/>
              <w:rPr>
                <w:sz w:val="23"/>
                <w:szCs w:val="23"/>
              </w:rPr>
            </w:pPr>
            <w:r w:rsidRPr="007C1EF6">
              <w:rPr>
                <w:sz w:val="23"/>
                <w:szCs w:val="23"/>
              </w:rPr>
              <w:t>+ Thống nhất ban hành các định mức kinh tế kỹ thuật và đơn giá tạo lập, chuyển đổi thông tin điện tử, số hóa thông tin trên môi trường mạng thay thế Quyết định số 1595/QĐ-BTTTT ngày 03/10/2011 của Bộ TTTT về việc công bố định mức tạo lập cơ sở dữ liệu trong hoạt động ứng dụng công nghệ thông tin và Thông tư số 194/2012/TT-BTC  ngày 15/11/2012 của Bộ Tài chính Hướng dẫn mức chi tạo lập thông tin điện tử nhằm duy trì hoạt động thường xuyên của các cơ quan, đơn vị sử dụng ngân sách nhà nước.</w:t>
            </w:r>
          </w:p>
          <w:p w14:paraId="1374ECA8" w14:textId="4F74044D" w:rsidR="005C188D" w:rsidRPr="007C1EF6" w:rsidRDefault="005C188D" w:rsidP="0042173F">
            <w:pPr>
              <w:tabs>
                <w:tab w:val="left" w:leader="dot" w:pos="8900"/>
              </w:tabs>
              <w:ind w:right="68"/>
              <w:jc w:val="both"/>
              <w:rPr>
                <w:sz w:val="23"/>
                <w:szCs w:val="23"/>
                <w:lang w:val="pt-BR"/>
              </w:rPr>
            </w:pPr>
            <w:r w:rsidRPr="007C1EF6">
              <w:rPr>
                <w:sz w:val="23"/>
                <w:szCs w:val="23"/>
              </w:rPr>
              <w:t>+ Nghiên cứu, xem xét để xây dựng, ban hành hoặc hướng dẫn áp dụng các định mức - đơn giá cho các hạng mục số mới có tính đặc thù như: Nền tảng số (LGSP, IOC, dữ liệu mở, AI, phân tích dữ liệu lớn…); Dịch vụ thuê ngoài CNTT (dịch vụ điện toán đám mây, thuê phần mềm, SOC…); Chi phí bảo trì, vận hành theo mô hình Chính quyền số…;</w:t>
            </w:r>
          </w:p>
        </w:tc>
      </w:tr>
      <w:tr w:rsidR="005C188D" w:rsidRPr="007C1EF6" w14:paraId="6051786C" w14:textId="77777777" w:rsidTr="005C188D">
        <w:trPr>
          <w:trHeight w:val="170"/>
          <w:jc w:val="center"/>
        </w:trPr>
        <w:tc>
          <w:tcPr>
            <w:tcW w:w="199" w:type="pct"/>
          </w:tcPr>
          <w:p w14:paraId="3C15D7D8" w14:textId="77777777" w:rsidR="005C188D" w:rsidRPr="007C1EF6" w:rsidRDefault="005C188D" w:rsidP="0042173F">
            <w:pPr>
              <w:pStyle w:val="ListParagraph"/>
              <w:widowControl w:val="0"/>
              <w:numPr>
                <w:ilvl w:val="0"/>
                <w:numId w:val="13"/>
              </w:numPr>
              <w:spacing w:after="0" w:line="240" w:lineRule="auto"/>
              <w:ind w:left="0" w:firstLine="82"/>
              <w:jc w:val="center"/>
              <w:rPr>
                <w:rFonts w:ascii="Times New Roman" w:hAnsi="Times New Roman"/>
                <w:sz w:val="23"/>
                <w:szCs w:val="23"/>
              </w:rPr>
            </w:pPr>
          </w:p>
        </w:tc>
        <w:tc>
          <w:tcPr>
            <w:tcW w:w="1221" w:type="pct"/>
          </w:tcPr>
          <w:p w14:paraId="2D064EE3" w14:textId="0946FB1B" w:rsidR="005C188D" w:rsidRPr="007C1EF6" w:rsidRDefault="005C188D" w:rsidP="0042173F">
            <w:pPr>
              <w:ind w:right="238"/>
              <w:jc w:val="both"/>
              <w:rPr>
                <w:sz w:val="23"/>
                <w:szCs w:val="23"/>
              </w:rPr>
            </w:pPr>
            <w:r w:rsidRPr="007C1EF6">
              <w:rPr>
                <w:sz w:val="23"/>
                <w:szCs w:val="23"/>
              </w:rPr>
              <w:t>Chính phủ</w:t>
            </w:r>
          </w:p>
        </w:tc>
        <w:tc>
          <w:tcPr>
            <w:tcW w:w="1601" w:type="pct"/>
          </w:tcPr>
          <w:p w14:paraId="35697389" w14:textId="6B81097D" w:rsidR="005C188D" w:rsidRPr="007C1EF6" w:rsidRDefault="005C188D" w:rsidP="009745BF">
            <w:pPr>
              <w:rPr>
                <w:rFonts w:eastAsia="MS Mincho"/>
                <w:bCs/>
                <w:sz w:val="23"/>
                <w:szCs w:val="23"/>
                <w:lang w:val="it-IT"/>
              </w:rPr>
            </w:pPr>
            <w:r w:rsidRPr="007C1EF6">
              <w:rPr>
                <w:rFonts w:eastAsia="MS Mincho"/>
                <w:bCs/>
                <w:sz w:val="23"/>
                <w:szCs w:val="23"/>
                <w:lang w:val="it-IT"/>
              </w:rPr>
              <w:t>Chuyên đề việc thực hiện chính sách ưu đãi đầu tư tại khu kinh tế, khu công nghiệp giai đoạn 2022-2024 tại thành phố Hải Phòng</w:t>
            </w:r>
          </w:p>
          <w:p w14:paraId="660D3700" w14:textId="5EE2948B" w:rsidR="005C188D" w:rsidRPr="007C1EF6" w:rsidRDefault="005C188D" w:rsidP="0042173F">
            <w:pPr>
              <w:ind w:right="31"/>
              <w:jc w:val="both"/>
              <w:rPr>
                <w:rFonts w:eastAsia="MS Mincho"/>
                <w:bCs/>
                <w:sz w:val="23"/>
                <w:szCs w:val="23"/>
                <w:highlight w:val="yellow"/>
                <w:lang w:val="pt-BR"/>
              </w:rPr>
            </w:pPr>
          </w:p>
        </w:tc>
        <w:tc>
          <w:tcPr>
            <w:tcW w:w="1980" w:type="pct"/>
          </w:tcPr>
          <w:p w14:paraId="6462B7BB" w14:textId="77777777" w:rsidR="005C188D" w:rsidRPr="007C1EF6" w:rsidRDefault="005C188D" w:rsidP="0042173F">
            <w:pPr>
              <w:tabs>
                <w:tab w:val="left" w:leader="dot" w:pos="8900"/>
              </w:tabs>
              <w:ind w:right="66"/>
              <w:jc w:val="both"/>
              <w:rPr>
                <w:sz w:val="23"/>
                <w:szCs w:val="23"/>
              </w:rPr>
            </w:pPr>
            <w:r w:rsidRPr="007C1EF6">
              <w:rPr>
                <w:sz w:val="23"/>
                <w:szCs w:val="23"/>
              </w:rPr>
              <w:t xml:space="preserve">1. Tại thời điểm Thủ tướng chính phủ ban hành các quyết định phê duyệt chủ trương đầu tư mới 04 KCN {KCN Nam Tràng Cát; KCN Vinh Quang (giai đoạn 1); KCN Nomura – Hải Phòng (giai đoạn 2); KCN Tràng Duệ 3} thành phố Hải Phòng đã có 14 KCN với tỷ lệ lấp đầy bình quân 63% tuy đảm bảo theo quy định tại Điều 9 Nghị định 35/2022/NĐ-CP ngày 28/5/2022 của Chính phủ; song có những điều kiện thực tiễn tại thành phố Hải Phòng cần xem xét khi quyết định thành lập các KCN để đảm bảo phát huy tối đa hiệu quả đầu tư các KCN hiện có, nâng cao hiệu quả </w:t>
            </w:r>
            <w:r w:rsidRPr="007C1EF6">
              <w:rPr>
                <w:sz w:val="23"/>
                <w:szCs w:val="23"/>
              </w:rPr>
              <w:lastRenderedPageBreak/>
              <w:t xml:space="preserve">sử dụng và tránh lãng phí đất đai đã đầu tư hạ tầng tại các KKT, KCN hiện hữu như: </w:t>
            </w:r>
          </w:p>
          <w:p w14:paraId="3A2F5BC0" w14:textId="77777777" w:rsidR="005C188D" w:rsidRPr="007C1EF6" w:rsidRDefault="005C188D" w:rsidP="0042173F">
            <w:pPr>
              <w:tabs>
                <w:tab w:val="left" w:leader="dot" w:pos="8900"/>
              </w:tabs>
              <w:ind w:right="66"/>
              <w:jc w:val="both"/>
              <w:rPr>
                <w:sz w:val="23"/>
                <w:szCs w:val="23"/>
              </w:rPr>
            </w:pPr>
            <w:r w:rsidRPr="007C1EF6">
              <w:rPr>
                <w:sz w:val="23"/>
                <w:szCs w:val="23"/>
              </w:rPr>
              <w:t>- Còn 03 trên tổng số 14 KCN hiện có với tổng diện tích 1.689,72ha chưa có nhà đầu tư thứ cấp {(KCN cảng cửa ngõ quốc tế Hải Phòng (Deep C3); KCN và khu phi thuế quan Xuân Cầu; KCN Tiên Thanh)};</w:t>
            </w:r>
          </w:p>
          <w:p w14:paraId="45DFA4EC" w14:textId="77777777" w:rsidR="005C188D" w:rsidRPr="007C1EF6" w:rsidRDefault="005C188D" w:rsidP="0042173F">
            <w:pPr>
              <w:tabs>
                <w:tab w:val="left" w:leader="dot" w:pos="8900"/>
              </w:tabs>
              <w:ind w:right="66"/>
              <w:jc w:val="both"/>
              <w:rPr>
                <w:sz w:val="23"/>
                <w:szCs w:val="23"/>
              </w:rPr>
            </w:pPr>
            <w:r w:rsidRPr="007C1EF6">
              <w:rPr>
                <w:sz w:val="23"/>
                <w:szCs w:val="23"/>
              </w:rPr>
              <w:t xml:space="preserve">- 02/14 KCN đã có nhà đầu tư thứ cấp nhưng tỷ lệ lấp đầy dưới 50%  {(KCN Nam Đình Vũ (Khu II) – Deep C 2A tỷ lệ lấp đầy 27%; Khu phi thuế quan và KCN Nam Đình Vũ ( Khu 1) tỷ lệ lấp đầy 45%}. </w:t>
            </w:r>
          </w:p>
          <w:p w14:paraId="2FC6D936" w14:textId="77777777" w:rsidR="005C188D" w:rsidRPr="007C1EF6" w:rsidRDefault="005C188D" w:rsidP="0042173F">
            <w:pPr>
              <w:tabs>
                <w:tab w:val="left" w:leader="dot" w:pos="8900"/>
              </w:tabs>
              <w:ind w:right="66"/>
              <w:jc w:val="both"/>
              <w:rPr>
                <w:sz w:val="23"/>
                <w:szCs w:val="23"/>
              </w:rPr>
            </w:pPr>
            <w:r w:rsidRPr="007C1EF6">
              <w:rPr>
                <w:sz w:val="23"/>
                <w:szCs w:val="23"/>
              </w:rPr>
              <w:t xml:space="preserve">- Khu kinh tế Đình Vũ – Cát Hải được Thủ tướng Chính phủ phê duyệt quy hoạch chung xây dựng tại Quyết định số 1438/QĐ-TTg ngày 03/10/2012 nhưng đến hết năm 2024 vẫn đang triển khai đầu tư, hoặc chưa đầu tư dự án hạ tầng kỹ thuật thiết yếu, hạ tầng xã hội, các trung tâm phục vụ công cộng, trung tâm chuyên ngành ảnh hưởng đến thu hút nhà đầu tư và phát huy hiệu quả KKT. </w:t>
            </w:r>
          </w:p>
          <w:p w14:paraId="2403E15B" w14:textId="7A87C089" w:rsidR="005C188D" w:rsidRPr="007C1EF6" w:rsidRDefault="005C188D" w:rsidP="0042173F">
            <w:pPr>
              <w:tabs>
                <w:tab w:val="left" w:leader="dot" w:pos="8900"/>
              </w:tabs>
              <w:ind w:right="68"/>
              <w:jc w:val="both"/>
              <w:rPr>
                <w:sz w:val="23"/>
                <w:szCs w:val="23"/>
                <w:lang w:val="pt-BR"/>
              </w:rPr>
            </w:pPr>
            <w:r w:rsidRPr="007C1EF6">
              <w:rPr>
                <w:sz w:val="23"/>
                <w:szCs w:val="23"/>
              </w:rPr>
              <w:t>2. Kiểm toán nhà nước trân trọng báo cáo để Chính phủ xem xét việc có kế hoạch phát triển nguồn lao động và cân đối việc phát triển các KCN để đảm bảo nguồn cung lao động cho các KCN trên cả nước trong điều kiện lao động tại từng địa phương không đáp ứng nhu cầu lao động của các KCN trên địa bàn. (Tại Hải Phòng, đến 31/12/2024, số lao động ngoại tỉnh tại các KCN trên địa bàn Hải Phòng 71.604 người trên tổng số lao động 215.368 bằng 33%. Trường hợp các địa phương lân cận đều phát triển KCN, có nhu cầu lao động nhiều thì có thể dẫn đến thiếu hụt lao động).</w:t>
            </w:r>
          </w:p>
        </w:tc>
      </w:tr>
      <w:tr w:rsidR="005C188D" w:rsidRPr="007C1EF6" w14:paraId="552EDA68" w14:textId="77777777" w:rsidTr="005C188D">
        <w:trPr>
          <w:trHeight w:val="170"/>
          <w:jc w:val="center"/>
        </w:trPr>
        <w:tc>
          <w:tcPr>
            <w:tcW w:w="199" w:type="pct"/>
          </w:tcPr>
          <w:p w14:paraId="51A5872C" w14:textId="77777777" w:rsidR="005C188D" w:rsidRPr="007C1EF6" w:rsidRDefault="005C188D" w:rsidP="0042173F">
            <w:pPr>
              <w:pStyle w:val="ListParagraph"/>
              <w:widowControl w:val="0"/>
              <w:numPr>
                <w:ilvl w:val="0"/>
                <w:numId w:val="13"/>
              </w:numPr>
              <w:spacing w:after="0" w:line="240" w:lineRule="auto"/>
              <w:ind w:left="0" w:firstLine="82"/>
              <w:jc w:val="center"/>
              <w:rPr>
                <w:rFonts w:ascii="Times New Roman" w:hAnsi="Times New Roman"/>
                <w:sz w:val="23"/>
                <w:szCs w:val="23"/>
              </w:rPr>
            </w:pPr>
          </w:p>
        </w:tc>
        <w:tc>
          <w:tcPr>
            <w:tcW w:w="1221" w:type="pct"/>
          </w:tcPr>
          <w:p w14:paraId="563F728F" w14:textId="2A8B689A" w:rsidR="005C188D" w:rsidRPr="007C1EF6" w:rsidRDefault="005C188D" w:rsidP="0042173F">
            <w:pPr>
              <w:ind w:right="238"/>
              <w:jc w:val="both"/>
              <w:rPr>
                <w:sz w:val="23"/>
                <w:szCs w:val="23"/>
              </w:rPr>
            </w:pPr>
            <w:r w:rsidRPr="007C1EF6">
              <w:rPr>
                <w:sz w:val="23"/>
                <w:szCs w:val="23"/>
              </w:rPr>
              <w:t>Thủ tướng Chính phủ</w:t>
            </w:r>
          </w:p>
        </w:tc>
        <w:tc>
          <w:tcPr>
            <w:tcW w:w="1601" w:type="pct"/>
          </w:tcPr>
          <w:p w14:paraId="5B1AAE0A" w14:textId="41389D35" w:rsidR="005C188D" w:rsidRPr="007C1EF6" w:rsidRDefault="005C188D" w:rsidP="0042173F">
            <w:pPr>
              <w:ind w:right="31"/>
              <w:jc w:val="both"/>
              <w:rPr>
                <w:rFonts w:eastAsia="MS Mincho"/>
                <w:bCs/>
                <w:sz w:val="23"/>
                <w:szCs w:val="23"/>
                <w:lang w:val="pt-BR"/>
              </w:rPr>
            </w:pPr>
            <w:r w:rsidRPr="007C1EF6">
              <w:rPr>
                <w:rFonts w:eastAsia="MS Mincho"/>
                <w:bCs/>
                <w:sz w:val="23"/>
                <w:szCs w:val="23"/>
                <w:lang w:val="pt-BR"/>
              </w:rPr>
              <w:t>Chuyên đề việc đầu tư, ứng dụng phần mềm CNTT, các hoạt động thuê dịch vụ CNTT phục vụ chuyển đổi số giai đoạn 2021-2024 tỉnh Đồng Nai</w:t>
            </w:r>
          </w:p>
        </w:tc>
        <w:tc>
          <w:tcPr>
            <w:tcW w:w="1980" w:type="pct"/>
          </w:tcPr>
          <w:p w14:paraId="2993AA86" w14:textId="33F3DC1C" w:rsidR="005C188D" w:rsidRPr="007C1EF6" w:rsidRDefault="005C188D" w:rsidP="0042173F">
            <w:pPr>
              <w:tabs>
                <w:tab w:val="left" w:leader="dot" w:pos="8900"/>
              </w:tabs>
              <w:ind w:right="68"/>
              <w:jc w:val="both"/>
              <w:rPr>
                <w:sz w:val="23"/>
                <w:szCs w:val="23"/>
                <w:lang w:val="pt-BR"/>
              </w:rPr>
            </w:pPr>
            <w:r w:rsidRPr="007C1EF6">
              <w:rPr>
                <w:sz w:val="23"/>
                <w:szCs w:val="23"/>
                <w:lang w:val="pt-BR"/>
              </w:rPr>
              <w:t>Chỉ đạo các Bộ, Ngành khẩn trương hoàn thành các ứng dụng CNTT hoặc nền tảng số triển khai trên toàn quốc theo Văn bản số 2765/BTTTT-CĐSGQ ngày 15/7/2024 của Bộ Thông tin và Truyền thông về việc công bố danh sách nền tảng số do các bộ, ngành triển khai trên toàn quốc để địa phương khai thác, tránh triển khai trùng lặp, để các địa phương triển khai sử dụng, nhằm thực hiện tốt mục tiêu chuyển đổi số và tiết kiệm kinh phí NSNN.</w:t>
            </w:r>
          </w:p>
        </w:tc>
      </w:tr>
      <w:tr w:rsidR="005C188D" w:rsidRPr="007C1EF6" w14:paraId="4778F43F" w14:textId="77777777" w:rsidTr="005C188D">
        <w:trPr>
          <w:trHeight w:val="170"/>
          <w:jc w:val="center"/>
        </w:trPr>
        <w:tc>
          <w:tcPr>
            <w:tcW w:w="199" w:type="pct"/>
          </w:tcPr>
          <w:p w14:paraId="197EECA3" w14:textId="77777777" w:rsidR="005C188D" w:rsidRPr="007C1EF6" w:rsidRDefault="005C188D" w:rsidP="0042173F">
            <w:pPr>
              <w:pStyle w:val="ListParagraph"/>
              <w:widowControl w:val="0"/>
              <w:numPr>
                <w:ilvl w:val="0"/>
                <w:numId w:val="13"/>
              </w:numPr>
              <w:spacing w:after="0" w:line="240" w:lineRule="auto"/>
              <w:ind w:left="0" w:firstLine="82"/>
              <w:jc w:val="center"/>
              <w:rPr>
                <w:rFonts w:ascii="Times New Roman" w:hAnsi="Times New Roman"/>
                <w:sz w:val="23"/>
                <w:szCs w:val="23"/>
              </w:rPr>
            </w:pPr>
          </w:p>
        </w:tc>
        <w:tc>
          <w:tcPr>
            <w:tcW w:w="1221" w:type="pct"/>
          </w:tcPr>
          <w:p w14:paraId="3548F066" w14:textId="1AB865BB" w:rsidR="005C188D" w:rsidRPr="007C1EF6" w:rsidRDefault="005C188D" w:rsidP="0042173F">
            <w:pPr>
              <w:ind w:right="238"/>
              <w:jc w:val="both"/>
              <w:rPr>
                <w:sz w:val="23"/>
                <w:szCs w:val="23"/>
              </w:rPr>
            </w:pPr>
            <w:r w:rsidRPr="007C1EF6">
              <w:rPr>
                <w:sz w:val="23"/>
                <w:szCs w:val="23"/>
              </w:rPr>
              <w:t>Bộ Tài chính</w:t>
            </w:r>
          </w:p>
        </w:tc>
        <w:tc>
          <w:tcPr>
            <w:tcW w:w="1601" w:type="pct"/>
          </w:tcPr>
          <w:p w14:paraId="237E1DA9" w14:textId="0CF69A10" w:rsidR="005C188D" w:rsidRPr="007C1EF6" w:rsidRDefault="005C188D" w:rsidP="009745BF">
            <w:pPr>
              <w:rPr>
                <w:rFonts w:eastAsia="MS Mincho"/>
                <w:bCs/>
                <w:sz w:val="23"/>
                <w:szCs w:val="23"/>
                <w:lang w:val="pt-BR"/>
              </w:rPr>
            </w:pPr>
            <w:r w:rsidRPr="007C1EF6">
              <w:rPr>
                <w:rFonts w:eastAsia="MS Mincho"/>
                <w:bCs/>
                <w:sz w:val="23"/>
                <w:szCs w:val="23"/>
                <w:lang w:val="pt-BR"/>
              </w:rPr>
              <w:t>Ngân sách địa phương, báo cáo quyết toán ngân sách địa phương năm 2024 của tỉnh Bà Rịa – Vũng Tàu và các chuyên đề lồng ghép</w:t>
            </w:r>
          </w:p>
          <w:p w14:paraId="4A3B41F6" w14:textId="0846E9A5" w:rsidR="005C188D" w:rsidRPr="007C1EF6" w:rsidRDefault="005C188D" w:rsidP="0042173F">
            <w:pPr>
              <w:ind w:right="31"/>
              <w:jc w:val="both"/>
              <w:rPr>
                <w:rFonts w:eastAsia="MS Mincho"/>
                <w:bCs/>
                <w:sz w:val="23"/>
                <w:szCs w:val="23"/>
                <w:highlight w:val="yellow"/>
                <w:lang w:val="pt-BR"/>
              </w:rPr>
            </w:pPr>
          </w:p>
        </w:tc>
        <w:tc>
          <w:tcPr>
            <w:tcW w:w="1980" w:type="pct"/>
          </w:tcPr>
          <w:p w14:paraId="5E5E4A17" w14:textId="7D03B7D3" w:rsidR="005C188D" w:rsidRPr="007C1EF6" w:rsidRDefault="005C188D" w:rsidP="0042173F">
            <w:pPr>
              <w:tabs>
                <w:tab w:val="left" w:leader="dot" w:pos="8900"/>
              </w:tabs>
              <w:ind w:right="68"/>
              <w:jc w:val="both"/>
              <w:rPr>
                <w:sz w:val="23"/>
                <w:szCs w:val="23"/>
                <w:lang w:val="pt-BR"/>
              </w:rPr>
            </w:pPr>
            <w:r w:rsidRPr="007C1EF6">
              <w:rPr>
                <w:sz w:val="23"/>
                <w:szCs w:val="23"/>
                <w:lang w:val="pt-BR"/>
              </w:rPr>
              <w:t>Phối hợp với Thành phố Hồ Chí Minh rà soát các phường, xã thuộc thành phố Phú Mỹ, tỉnh Bà Rịa – Vũng Tàu (cũ), nay là các phường, xã (Phú Mỹ, Tân Phước, Tân Thành, Tân Hải, Châu Pha) thuộc Tp. Hồ Chí Minh để trình Chính phủ điều chỉnh đưa ra khỏi danh mục địa bàn có điều kiện kinh tế xã hội khó khăn ban hành theo Nghị định số 31/2021/NĐ-CP ngày 26/3/2021 của Chính phủ về quy định chi tiết và hướng dẫn thi hành một số điều của Luật Đầu tư nếu không còn phù hợp với điều kiện phát triển kinh tế xã hội hiện nay của khu vực này</w:t>
            </w:r>
          </w:p>
        </w:tc>
      </w:tr>
      <w:tr w:rsidR="005C188D" w:rsidRPr="007C1EF6" w14:paraId="36DA430D" w14:textId="77777777" w:rsidTr="005C188D">
        <w:trPr>
          <w:trHeight w:val="170"/>
          <w:jc w:val="center"/>
        </w:trPr>
        <w:tc>
          <w:tcPr>
            <w:tcW w:w="199" w:type="pct"/>
          </w:tcPr>
          <w:p w14:paraId="063EFD44" w14:textId="77777777" w:rsidR="005C188D" w:rsidRPr="007C1EF6" w:rsidRDefault="005C188D" w:rsidP="0042173F">
            <w:pPr>
              <w:pStyle w:val="ListParagraph"/>
              <w:widowControl w:val="0"/>
              <w:numPr>
                <w:ilvl w:val="0"/>
                <w:numId w:val="13"/>
              </w:numPr>
              <w:spacing w:after="0" w:line="240" w:lineRule="auto"/>
              <w:ind w:left="0" w:firstLine="82"/>
              <w:jc w:val="center"/>
              <w:rPr>
                <w:rFonts w:ascii="Times New Roman" w:hAnsi="Times New Roman"/>
                <w:sz w:val="23"/>
                <w:szCs w:val="23"/>
              </w:rPr>
            </w:pPr>
          </w:p>
        </w:tc>
        <w:tc>
          <w:tcPr>
            <w:tcW w:w="1221" w:type="pct"/>
          </w:tcPr>
          <w:p w14:paraId="3986CE27" w14:textId="457FB4D4" w:rsidR="005C188D" w:rsidRPr="007C1EF6" w:rsidRDefault="005C188D" w:rsidP="0042173F">
            <w:pPr>
              <w:ind w:right="238"/>
              <w:jc w:val="both"/>
              <w:rPr>
                <w:sz w:val="23"/>
                <w:szCs w:val="23"/>
              </w:rPr>
            </w:pPr>
            <w:r w:rsidRPr="007C1EF6">
              <w:rPr>
                <w:sz w:val="23"/>
                <w:szCs w:val="23"/>
              </w:rPr>
              <w:t>Cục Thuế</w:t>
            </w:r>
          </w:p>
        </w:tc>
        <w:tc>
          <w:tcPr>
            <w:tcW w:w="1601" w:type="pct"/>
          </w:tcPr>
          <w:p w14:paraId="039F8DB5" w14:textId="59B304C8" w:rsidR="005C188D" w:rsidRPr="007C1EF6" w:rsidRDefault="005C188D" w:rsidP="0042173F">
            <w:pPr>
              <w:ind w:right="31"/>
              <w:jc w:val="both"/>
              <w:rPr>
                <w:rFonts w:eastAsia="MS Mincho"/>
                <w:bCs/>
                <w:sz w:val="23"/>
                <w:szCs w:val="23"/>
                <w:lang w:val="pt-BR"/>
              </w:rPr>
            </w:pPr>
            <w:r w:rsidRPr="007C1EF6">
              <w:rPr>
                <w:rFonts w:eastAsia="MS Mincho"/>
                <w:bCs/>
                <w:sz w:val="23"/>
                <w:szCs w:val="23"/>
                <w:lang w:val="de-DE"/>
              </w:rPr>
              <w:t>Ngân sách địa phương năm 2024 của tỉnh Sóc Trăng</w:t>
            </w:r>
          </w:p>
        </w:tc>
        <w:tc>
          <w:tcPr>
            <w:tcW w:w="1980" w:type="pct"/>
          </w:tcPr>
          <w:p w14:paraId="1B0BFC92" w14:textId="3F109C74" w:rsidR="005C188D" w:rsidRPr="007C1EF6" w:rsidRDefault="005C188D" w:rsidP="0042173F">
            <w:pPr>
              <w:tabs>
                <w:tab w:val="left" w:leader="dot" w:pos="8900"/>
              </w:tabs>
              <w:ind w:right="68"/>
              <w:jc w:val="both"/>
              <w:rPr>
                <w:sz w:val="23"/>
                <w:szCs w:val="23"/>
                <w:lang w:val="pt-BR"/>
              </w:rPr>
            </w:pPr>
            <w:r w:rsidRPr="007C1EF6">
              <w:rPr>
                <w:sz w:val="23"/>
                <w:szCs w:val="23"/>
              </w:rPr>
              <w:t>Rà soát, đưa vào kế hoạch kiểm tra thuế các doanh nghiệp có phát sinh giao dịch liên kết và doanh nghiệp chế biến thủy sản trọng điểm trên địa bàn tỉnh Sóc Trăng cũ (nay là thành phố Cần Thơ) có rủi ro cao hoặc đã quá 5 năm chưa được kiểm tra quyết toán thuế, nhằm nâng cao hiệu lực quản lý thuế, kịp thời phát hiện và xử lý các hành vi vi phạm pháp luật thuế.</w:t>
            </w:r>
          </w:p>
        </w:tc>
      </w:tr>
      <w:tr w:rsidR="005C188D" w:rsidRPr="007C1EF6" w14:paraId="5B0B58EB" w14:textId="77777777" w:rsidTr="005C188D">
        <w:trPr>
          <w:trHeight w:val="170"/>
          <w:jc w:val="center"/>
        </w:trPr>
        <w:tc>
          <w:tcPr>
            <w:tcW w:w="199" w:type="pct"/>
            <w:vMerge w:val="restart"/>
          </w:tcPr>
          <w:p w14:paraId="053974EE" w14:textId="77777777" w:rsidR="005C188D" w:rsidRPr="007C1EF6" w:rsidRDefault="005C188D" w:rsidP="0042173F">
            <w:pPr>
              <w:pStyle w:val="ListParagraph"/>
              <w:widowControl w:val="0"/>
              <w:numPr>
                <w:ilvl w:val="0"/>
                <w:numId w:val="13"/>
              </w:numPr>
              <w:spacing w:after="0" w:line="240" w:lineRule="auto"/>
              <w:ind w:left="0" w:firstLine="82"/>
              <w:jc w:val="center"/>
              <w:rPr>
                <w:rFonts w:ascii="Times New Roman" w:hAnsi="Times New Roman"/>
                <w:sz w:val="23"/>
                <w:szCs w:val="23"/>
              </w:rPr>
            </w:pPr>
          </w:p>
        </w:tc>
        <w:tc>
          <w:tcPr>
            <w:tcW w:w="1221" w:type="pct"/>
            <w:vMerge w:val="restart"/>
          </w:tcPr>
          <w:p w14:paraId="08477AAC" w14:textId="3BD1EB7B" w:rsidR="005C188D" w:rsidRPr="007C1EF6" w:rsidRDefault="005C188D" w:rsidP="0042173F">
            <w:pPr>
              <w:ind w:right="238"/>
              <w:jc w:val="both"/>
              <w:rPr>
                <w:sz w:val="23"/>
                <w:szCs w:val="23"/>
              </w:rPr>
            </w:pPr>
            <w:r w:rsidRPr="007C1EF6">
              <w:rPr>
                <w:sz w:val="23"/>
                <w:szCs w:val="23"/>
              </w:rPr>
              <w:t>Cục Thuế (Bộ Tài chính)</w:t>
            </w:r>
          </w:p>
        </w:tc>
        <w:tc>
          <w:tcPr>
            <w:tcW w:w="1601" w:type="pct"/>
          </w:tcPr>
          <w:p w14:paraId="3939D268" w14:textId="43CB4C1D" w:rsidR="005C188D" w:rsidRPr="007C1EF6" w:rsidRDefault="005C188D" w:rsidP="0042173F">
            <w:pPr>
              <w:ind w:right="31"/>
              <w:jc w:val="both"/>
              <w:rPr>
                <w:rFonts w:eastAsia="MS Mincho"/>
                <w:bCs/>
                <w:sz w:val="23"/>
                <w:szCs w:val="23"/>
                <w:lang w:val="pt-BR"/>
              </w:rPr>
            </w:pPr>
            <w:r w:rsidRPr="007C1EF6">
              <w:rPr>
                <w:rFonts w:eastAsia="MS Mincho"/>
                <w:bCs/>
                <w:sz w:val="23"/>
                <w:szCs w:val="23"/>
                <w:lang w:val="pt-BR"/>
              </w:rPr>
              <w:t>Báo cáo quyết toán ngân sách địa phương năm 2024 tại tỉnh Lào Cai</w:t>
            </w:r>
          </w:p>
        </w:tc>
        <w:tc>
          <w:tcPr>
            <w:tcW w:w="1980" w:type="pct"/>
            <w:vMerge w:val="restart"/>
          </w:tcPr>
          <w:p w14:paraId="0542B11F" w14:textId="77777777" w:rsidR="005C188D" w:rsidRPr="007C1EF6" w:rsidRDefault="005C188D" w:rsidP="0042173F">
            <w:pPr>
              <w:tabs>
                <w:tab w:val="left" w:leader="dot" w:pos="8900"/>
              </w:tabs>
              <w:ind w:right="68"/>
              <w:jc w:val="both"/>
              <w:rPr>
                <w:sz w:val="23"/>
                <w:szCs w:val="23"/>
                <w:lang w:val="pt-BR"/>
              </w:rPr>
            </w:pPr>
            <w:r w:rsidRPr="007C1EF6">
              <w:rPr>
                <w:sz w:val="23"/>
                <w:szCs w:val="23"/>
                <w:lang w:val="pt-BR"/>
              </w:rPr>
              <w:t>Giao chỉ tiêu thu nợ hàng năm cho Thuế các tỉnh, thành phố phù hợp với Quy trình quản lý nợ thuế hiện hành.</w:t>
            </w:r>
          </w:p>
          <w:p w14:paraId="7A49A2EA" w14:textId="3CF6ECC6" w:rsidR="005C188D" w:rsidRPr="007C1EF6" w:rsidRDefault="005C188D" w:rsidP="0042173F">
            <w:pPr>
              <w:tabs>
                <w:tab w:val="left" w:leader="dot" w:pos="8900"/>
              </w:tabs>
              <w:ind w:right="68"/>
              <w:jc w:val="both"/>
              <w:rPr>
                <w:sz w:val="23"/>
                <w:szCs w:val="23"/>
                <w:lang w:val="pt-BR"/>
              </w:rPr>
            </w:pPr>
          </w:p>
        </w:tc>
      </w:tr>
      <w:tr w:rsidR="005C188D" w:rsidRPr="007C1EF6" w14:paraId="41D4BB3C" w14:textId="77777777" w:rsidTr="005C188D">
        <w:trPr>
          <w:trHeight w:val="170"/>
          <w:jc w:val="center"/>
        </w:trPr>
        <w:tc>
          <w:tcPr>
            <w:tcW w:w="199" w:type="pct"/>
            <w:vMerge/>
          </w:tcPr>
          <w:p w14:paraId="5D5F0636" w14:textId="77777777" w:rsidR="005C188D" w:rsidRPr="007C1EF6" w:rsidRDefault="005C188D" w:rsidP="0042173F">
            <w:pPr>
              <w:pStyle w:val="ListParagraph"/>
              <w:widowControl w:val="0"/>
              <w:numPr>
                <w:ilvl w:val="0"/>
                <w:numId w:val="13"/>
              </w:numPr>
              <w:spacing w:after="0" w:line="240" w:lineRule="auto"/>
              <w:ind w:left="0" w:firstLine="82"/>
              <w:jc w:val="center"/>
              <w:rPr>
                <w:rFonts w:ascii="Times New Roman" w:hAnsi="Times New Roman"/>
                <w:sz w:val="23"/>
                <w:szCs w:val="23"/>
              </w:rPr>
            </w:pPr>
          </w:p>
        </w:tc>
        <w:tc>
          <w:tcPr>
            <w:tcW w:w="1221" w:type="pct"/>
            <w:vMerge/>
          </w:tcPr>
          <w:p w14:paraId="217E3377" w14:textId="7C957471" w:rsidR="005C188D" w:rsidRPr="007C1EF6" w:rsidRDefault="005C188D" w:rsidP="0042173F">
            <w:pPr>
              <w:ind w:right="238"/>
              <w:jc w:val="both"/>
              <w:rPr>
                <w:sz w:val="23"/>
                <w:szCs w:val="23"/>
              </w:rPr>
            </w:pPr>
          </w:p>
        </w:tc>
        <w:tc>
          <w:tcPr>
            <w:tcW w:w="1601" w:type="pct"/>
          </w:tcPr>
          <w:p w14:paraId="01891AA6" w14:textId="05DCAF64" w:rsidR="005C188D" w:rsidRPr="007C1EF6" w:rsidRDefault="005C188D" w:rsidP="0042173F">
            <w:pPr>
              <w:ind w:right="31"/>
              <w:jc w:val="both"/>
              <w:rPr>
                <w:rFonts w:eastAsia="MS Mincho"/>
                <w:bCs/>
                <w:sz w:val="23"/>
                <w:szCs w:val="23"/>
                <w:lang w:val="pt-BR"/>
              </w:rPr>
            </w:pPr>
            <w:r w:rsidRPr="007C1EF6">
              <w:rPr>
                <w:rFonts w:eastAsia="MS Mincho"/>
                <w:bCs/>
                <w:sz w:val="23"/>
                <w:szCs w:val="23"/>
              </w:rPr>
              <w:t>N</w:t>
            </w:r>
            <w:r w:rsidRPr="007C1EF6">
              <w:rPr>
                <w:rFonts w:eastAsia="MS Mincho"/>
                <w:bCs/>
                <w:sz w:val="23"/>
                <w:szCs w:val="23"/>
                <w:lang w:val="vi-VN"/>
              </w:rPr>
              <w:t>gân sách địa phương</w:t>
            </w:r>
            <w:r w:rsidRPr="007C1EF6">
              <w:rPr>
                <w:rFonts w:eastAsia="MS Mincho"/>
                <w:bCs/>
                <w:sz w:val="23"/>
                <w:szCs w:val="23"/>
              </w:rPr>
              <w:t xml:space="preserve"> và</w:t>
            </w:r>
            <w:r w:rsidRPr="007C1EF6">
              <w:rPr>
                <w:rFonts w:eastAsia="MS Mincho"/>
                <w:bCs/>
                <w:sz w:val="23"/>
                <w:szCs w:val="23"/>
                <w:lang w:val="vi-VN"/>
              </w:rPr>
              <w:t xml:space="preserve"> Báo cáo quyết toán ngân sách địa phương</w:t>
            </w:r>
            <w:r w:rsidRPr="007C1EF6">
              <w:rPr>
                <w:rFonts w:eastAsia="MS Mincho"/>
                <w:bCs/>
                <w:sz w:val="23"/>
                <w:szCs w:val="23"/>
              </w:rPr>
              <w:t xml:space="preserve"> </w:t>
            </w:r>
            <w:r w:rsidRPr="007C1EF6">
              <w:rPr>
                <w:rFonts w:eastAsia="MS Mincho"/>
                <w:bCs/>
                <w:sz w:val="23"/>
                <w:szCs w:val="23"/>
                <w:lang w:val="vi-VN"/>
              </w:rPr>
              <w:t xml:space="preserve">năm 2024 </w:t>
            </w:r>
            <w:r w:rsidRPr="007C1EF6">
              <w:rPr>
                <w:rFonts w:eastAsia="MS Mincho"/>
                <w:bCs/>
                <w:sz w:val="23"/>
                <w:szCs w:val="23"/>
              </w:rPr>
              <w:t xml:space="preserve">của </w:t>
            </w:r>
            <w:r w:rsidRPr="007C1EF6">
              <w:rPr>
                <w:rFonts w:eastAsia="MS Mincho"/>
                <w:bCs/>
                <w:sz w:val="23"/>
                <w:szCs w:val="23"/>
                <w:lang w:val="vi-VN"/>
              </w:rPr>
              <w:t>tỉnh Phú Thọ</w:t>
            </w:r>
          </w:p>
        </w:tc>
        <w:tc>
          <w:tcPr>
            <w:tcW w:w="1980" w:type="pct"/>
            <w:vMerge/>
          </w:tcPr>
          <w:p w14:paraId="03D0118C" w14:textId="035C4153" w:rsidR="005C188D" w:rsidRPr="007C1EF6" w:rsidRDefault="005C188D" w:rsidP="0042173F">
            <w:pPr>
              <w:tabs>
                <w:tab w:val="left" w:leader="dot" w:pos="8900"/>
              </w:tabs>
              <w:ind w:right="68"/>
              <w:jc w:val="both"/>
              <w:rPr>
                <w:sz w:val="23"/>
                <w:szCs w:val="23"/>
                <w:lang w:val="pt-BR"/>
              </w:rPr>
            </w:pPr>
          </w:p>
        </w:tc>
      </w:tr>
      <w:tr w:rsidR="005C188D" w:rsidRPr="007C1EF6" w14:paraId="3E665FF7" w14:textId="77777777" w:rsidTr="005C188D">
        <w:trPr>
          <w:trHeight w:val="170"/>
          <w:jc w:val="center"/>
        </w:trPr>
        <w:tc>
          <w:tcPr>
            <w:tcW w:w="199" w:type="pct"/>
          </w:tcPr>
          <w:p w14:paraId="191FD686" w14:textId="77777777" w:rsidR="005C188D" w:rsidRPr="007C1EF6" w:rsidRDefault="005C188D" w:rsidP="0042173F">
            <w:pPr>
              <w:pStyle w:val="ListParagraph"/>
              <w:widowControl w:val="0"/>
              <w:numPr>
                <w:ilvl w:val="0"/>
                <w:numId w:val="13"/>
              </w:numPr>
              <w:spacing w:after="0" w:line="240" w:lineRule="auto"/>
              <w:ind w:left="0" w:firstLine="82"/>
              <w:jc w:val="center"/>
              <w:rPr>
                <w:rFonts w:ascii="Times New Roman" w:hAnsi="Times New Roman"/>
                <w:sz w:val="23"/>
                <w:szCs w:val="23"/>
              </w:rPr>
            </w:pPr>
          </w:p>
        </w:tc>
        <w:tc>
          <w:tcPr>
            <w:tcW w:w="1221" w:type="pct"/>
          </w:tcPr>
          <w:p w14:paraId="75759177" w14:textId="6A1D8DEC" w:rsidR="005C188D" w:rsidRPr="007C1EF6" w:rsidRDefault="005C188D" w:rsidP="0042173F">
            <w:pPr>
              <w:ind w:right="238"/>
              <w:jc w:val="both"/>
              <w:rPr>
                <w:sz w:val="23"/>
                <w:szCs w:val="23"/>
              </w:rPr>
            </w:pPr>
            <w:r w:rsidRPr="007C1EF6">
              <w:rPr>
                <w:sz w:val="23"/>
                <w:szCs w:val="23"/>
              </w:rPr>
              <w:t>Thủ tướng Chính phủ</w:t>
            </w:r>
          </w:p>
        </w:tc>
        <w:tc>
          <w:tcPr>
            <w:tcW w:w="1601" w:type="pct"/>
          </w:tcPr>
          <w:p w14:paraId="3A5A8AAD" w14:textId="2B250E0F" w:rsidR="005C188D" w:rsidRPr="007C1EF6" w:rsidRDefault="005C188D" w:rsidP="0042173F">
            <w:pPr>
              <w:ind w:right="31"/>
              <w:jc w:val="both"/>
              <w:rPr>
                <w:rFonts w:eastAsia="MS Mincho"/>
                <w:bCs/>
                <w:sz w:val="23"/>
                <w:szCs w:val="23"/>
                <w:lang w:val="pt-BR"/>
              </w:rPr>
            </w:pPr>
            <w:r w:rsidRPr="007C1EF6">
              <w:rPr>
                <w:rFonts w:eastAsia="MS Mincho"/>
                <w:bCs/>
                <w:sz w:val="23"/>
                <w:szCs w:val="23"/>
                <w:lang w:val="it-IT"/>
              </w:rPr>
              <w:t>Công tác quản lý, bảo vệ môi trường đối với các cơ sở nhập khẩu phế liệu từ nước ngoài làm nguyên liệu sản xuất giai đoạn 2022 - 2024</w:t>
            </w:r>
          </w:p>
        </w:tc>
        <w:tc>
          <w:tcPr>
            <w:tcW w:w="1980" w:type="pct"/>
          </w:tcPr>
          <w:p w14:paraId="3E86DFD8" w14:textId="6BB8559C" w:rsidR="005C188D" w:rsidRPr="007C1EF6" w:rsidRDefault="005C188D" w:rsidP="0042173F">
            <w:pPr>
              <w:tabs>
                <w:tab w:val="left" w:leader="dot" w:pos="8900"/>
              </w:tabs>
              <w:ind w:right="68"/>
              <w:jc w:val="both"/>
              <w:rPr>
                <w:sz w:val="23"/>
                <w:szCs w:val="23"/>
                <w:lang w:val="pt-BR"/>
              </w:rPr>
            </w:pPr>
            <w:r w:rsidRPr="007C1EF6">
              <w:rPr>
                <w:sz w:val="23"/>
                <w:szCs w:val="23"/>
              </w:rPr>
              <w:t>Chỉ đạo Bộ Tài chính chủ trì phối hợp với Bộ Nông nghiệp và Môi trường, Bộ Công Thương và các bộ, ngành, địa phương có liên quan: (i) Tổng kết đánh giá việc thực hiện Quy chế phối hợp liên ngành quản lý hoạt động nhập khẩu phế liệu ban hành kèm theo Quyết định số 35/2019/QĐ-TTg ngày 19/12/2019 của Thủ tướng Chính phủ; trong đó làm rõ trách nhiệm chưa thực hiện đầy đủ nhiệm vụ được giao và không kịp thời báo cáo Thủ tướng Chính phủ</w:t>
            </w:r>
          </w:p>
        </w:tc>
      </w:tr>
      <w:tr w:rsidR="005C188D" w:rsidRPr="007C1EF6" w14:paraId="12E1FF2D" w14:textId="77777777" w:rsidTr="005C188D">
        <w:trPr>
          <w:trHeight w:val="170"/>
          <w:jc w:val="center"/>
        </w:trPr>
        <w:tc>
          <w:tcPr>
            <w:tcW w:w="199" w:type="pct"/>
          </w:tcPr>
          <w:p w14:paraId="787C4F1C" w14:textId="77777777" w:rsidR="005C188D" w:rsidRPr="007C1EF6" w:rsidRDefault="005C188D" w:rsidP="0042173F">
            <w:pPr>
              <w:pStyle w:val="ListParagraph"/>
              <w:widowControl w:val="0"/>
              <w:numPr>
                <w:ilvl w:val="0"/>
                <w:numId w:val="13"/>
              </w:numPr>
              <w:spacing w:after="0" w:line="240" w:lineRule="auto"/>
              <w:ind w:left="0" w:firstLine="82"/>
              <w:jc w:val="center"/>
              <w:rPr>
                <w:rFonts w:ascii="Times New Roman" w:hAnsi="Times New Roman"/>
                <w:sz w:val="23"/>
                <w:szCs w:val="23"/>
              </w:rPr>
            </w:pPr>
          </w:p>
        </w:tc>
        <w:tc>
          <w:tcPr>
            <w:tcW w:w="1221" w:type="pct"/>
          </w:tcPr>
          <w:p w14:paraId="53F3D0D8" w14:textId="44C87349" w:rsidR="005C188D" w:rsidRPr="007C1EF6" w:rsidRDefault="005C188D" w:rsidP="0042173F">
            <w:pPr>
              <w:ind w:right="238"/>
              <w:jc w:val="both"/>
              <w:rPr>
                <w:sz w:val="23"/>
                <w:szCs w:val="23"/>
              </w:rPr>
            </w:pPr>
            <w:r w:rsidRPr="007C1EF6">
              <w:rPr>
                <w:sz w:val="23"/>
                <w:szCs w:val="23"/>
              </w:rPr>
              <w:t>UBND Thành phố Hà Nội và UBND Thành phố Hồ Chí Minh</w:t>
            </w:r>
          </w:p>
        </w:tc>
        <w:tc>
          <w:tcPr>
            <w:tcW w:w="1601" w:type="pct"/>
          </w:tcPr>
          <w:p w14:paraId="4B9FC90F" w14:textId="570925F9" w:rsidR="005C188D" w:rsidRPr="007C1EF6" w:rsidRDefault="005C188D" w:rsidP="0042173F">
            <w:pPr>
              <w:ind w:right="31"/>
              <w:jc w:val="both"/>
              <w:rPr>
                <w:rFonts w:eastAsia="MS Mincho"/>
                <w:bCs/>
                <w:sz w:val="23"/>
                <w:szCs w:val="23"/>
                <w:lang w:val="pt-BR"/>
              </w:rPr>
            </w:pPr>
            <w:r w:rsidRPr="007C1EF6">
              <w:rPr>
                <w:rFonts w:eastAsia="MS Mincho"/>
                <w:bCs/>
                <w:sz w:val="23"/>
                <w:szCs w:val="23"/>
                <w:lang w:val="it-IT"/>
              </w:rPr>
              <w:t>Công tác quản lý chất thải y tế các bệnh viện thuộc Bộ Y tế giai đoạn 2022-2024</w:t>
            </w:r>
          </w:p>
        </w:tc>
        <w:tc>
          <w:tcPr>
            <w:tcW w:w="1980" w:type="pct"/>
          </w:tcPr>
          <w:p w14:paraId="4BF10F14" w14:textId="4646651F" w:rsidR="005C188D" w:rsidRPr="007C1EF6" w:rsidRDefault="005C188D" w:rsidP="0042173F">
            <w:pPr>
              <w:tabs>
                <w:tab w:val="left" w:leader="dot" w:pos="8900"/>
              </w:tabs>
              <w:ind w:right="68"/>
              <w:jc w:val="both"/>
              <w:rPr>
                <w:sz w:val="23"/>
                <w:szCs w:val="23"/>
                <w:lang w:val="pt-BR"/>
              </w:rPr>
            </w:pPr>
            <w:r w:rsidRPr="007C1EF6">
              <w:rPr>
                <w:sz w:val="23"/>
                <w:szCs w:val="23"/>
                <w:lang w:val="pt-BR"/>
              </w:rPr>
              <w:t xml:space="preserve">Chỉ đạo các cơ quan quản lý chuyên môn về bảo vệ môi trường thực hiện kiểm tra, hướng dẫn các bệnh viện trên địa bàn kịp thời chấn chỉnh, khắc phục các tồn tại, hạn chế trong công tác quản lý chất thải y tế, bảo vệ môi trường và xử lý hành vi vi phạm theo quy định.   </w:t>
            </w:r>
          </w:p>
        </w:tc>
      </w:tr>
      <w:tr w:rsidR="005C188D" w:rsidRPr="007C1EF6" w14:paraId="1D8A8A41" w14:textId="77777777" w:rsidTr="005C188D">
        <w:trPr>
          <w:trHeight w:val="170"/>
          <w:jc w:val="center"/>
        </w:trPr>
        <w:tc>
          <w:tcPr>
            <w:tcW w:w="199" w:type="pct"/>
          </w:tcPr>
          <w:p w14:paraId="03070A0A" w14:textId="77777777" w:rsidR="005C188D" w:rsidRPr="007C1EF6" w:rsidRDefault="005C188D" w:rsidP="0042173F">
            <w:pPr>
              <w:pStyle w:val="ListParagraph"/>
              <w:widowControl w:val="0"/>
              <w:numPr>
                <w:ilvl w:val="0"/>
                <w:numId w:val="13"/>
              </w:numPr>
              <w:spacing w:after="0" w:line="240" w:lineRule="auto"/>
              <w:ind w:left="0" w:firstLine="82"/>
              <w:jc w:val="center"/>
              <w:rPr>
                <w:rFonts w:ascii="Times New Roman" w:hAnsi="Times New Roman"/>
                <w:sz w:val="23"/>
                <w:szCs w:val="23"/>
              </w:rPr>
            </w:pPr>
          </w:p>
        </w:tc>
        <w:tc>
          <w:tcPr>
            <w:tcW w:w="1221" w:type="pct"/>
          </w:tcPr>
          <w:p w14:paraId="4018C6F3" w14:textId="22C01396" w:rsidR="005C188D" w:rsidRPr="007C1EF6" w:rsidRDefault="005C188D" w:rsidP="0042173F">
            <w:pPr>
              <w:ind w:right="238"/>
              <w:jc w:val="both"/>
              <w:rPr>
                <w:sz w:val="23"/>
                <w:szCs w:val="23"/>
              </w:rPr>
            </w:pPr>
            <w:r w:rsidRPr="007C1EF6">
              <w:rPr>
                <w:sz w:val="23"/>
                <w:szCs w:val="23"/>
              </w:rPr>
              <w:t>Cục Thuế</w:t>
            </w:r>
          </w:p>
        </w:tc>
        <w:tc>
          <w:tcPr>
            <w:tcW w:w="1601" w:type="pct"/>
          </w:tcPr>
          <w:p w14:paraId="2C5525AD" w14:textId="2154358A" w:rsidR="005C188D" w:rsidRPr="007C1EF6" w:rsidRDefault="005C188D" w:rsidP="0042173F">
            <w:pPr>
              <w:ind w:right="31"/>
              <w:jc w:val="both"/>
              <w:rPr>
                <w:rFonts w:eastAsia="MS Mincho"/>
                <w:bCs/>
                <w:sz w:val="23"/>
                <w:szCs w:val="23"/>
                <w:lang w:val="pt-BR"/>
              </w:rPr>
            </w:pPr>
            <w:r w:rsidRPr="007C1EF6">
              <w:rPr>
                <w:rFonts w:eastAsia="MS Mincho"/>
                <w:bCs/>
                <w:sz w:val="23"/>
                <w:szCs w:val="23"/>
                <w:lang w:val="pt-BR"/>
              </w:rPr>
              <w:t xml:space="preserve">Ngân sách địa phương và Báo cáo quyết toán </w:t>
            </w:r>
          </w:p>
          <w:p w14:paraId="11951D4B" w14:textId="59932BB2" w:rsidR="005C188D" w:rsidRPr="007C1EF6" w:rsidRDefault="005C188D" w:rsidP="0042173F">
            <w:pPr>
              <w:ind w:right="31"/>
              <w:jc w:val="both"/>
              <w:rPr>
                <w:rFonts w:eastAsia="MS Mincho"/>
                <w:bCs/>
                <w:sz w:val="23"/>
                <w:szCs w:val="23"/>
                <w:lang w:val="pt-BR"/>
              </w:rPr>
            </w:pPr>
            <w:r w:rsidRPr="007C1EF6">
              <w:rPr>
                <w:rFonts w:eastAsia="MS Mincho"/>
                <w:bCs/>
                <w:sz w:val="23"/>
                <w:szCs w:val="23"/>
                <w:lang w:val="pt-BR"/>
              </w:rPr>
              <w:t>ngân sách địa phương năm 2024 của tỉnh Bến Tre</w:t>
            </w:r>
          </w:p>
        </w:tc>
        <w:tc>
          <w:tcPr>
            <w:tcW w:w="1980" w:type="pct"/>
          </w:tcPr>
          <w:p w14:paraId="20917587" w14:textId="47206D50" w:rsidR="005C188D" w:rsidRPr="007C1EF6" w:rsidRDefault="005C188D" w:rsidP="0042173F">
            <w:pPr>
              <w:tabs>
                <w:tab w:val="left" w:leader="dot" w:pos="8900"/>
              </w:tabs>
              <w:ind w:right="68"/>
              <w:jc w:val="both"/>
              <w:rPr>
                <w:sz w:val="23"/>
                <w:szCs w:val="23"/>
                <w:lang w:val="pt-BR"/>
              </w:rPr>
            </w:pPr>
            <w:r w:rsidRPr="007C1EF6">
              <w:rPr>
                <w:sz w:val="23"/>
                <w:szCs w:val="23"/>
                <w:lang w:val="pt-BR"/>
              </w:rPr>
              <w:t>Kiểm tra, rà soát và xử lý theo quy định pháp luật đối với các hồ sơ hoàn thuế GTGT xuất ksshẩu mặt hàng điện thoại của Công ty TNHH XNK Thiết bị Thông Minh Bến Tre (kỳ hoàn thuế tháng 01/2024 đến tháng 3/2024; kỳ hoàn thuế tháng 4/2024; kỳ hoàn thuế 5/2024 đến tháng 7/2024) đã được Chi cục Thuế khu vực XVIII (CCTKV18) kiểm tra và giải quyết hoàn thuế nhưng chưa thực hiện kiểm tra đầy đủ các nội dung chỉ đạo của Cục Thuế nêu tại Công văn số 3311/TCT-TTKT ngày 08/9/2022 về việc hoàn thuế GTGT mặt hàng điện thoại di động.</w:t>
            </w:r>
          </w:p>
        </w:tc>
      </w:tr>
      <w:tr w:rsidR="005C188D" w:rsidRPr="007C1EF6" w14:paraId="0C3B2519" w14:textId="77777777" w:rsidTr="005C188D">
        <w:trPr>
          <w:trHeight w:val="170"/>
          <w:jc w:val="center"/>
        </w:trPr>
        <w:tc>
          <w:tcPr>
            <w:tcW w:w="199" w:type="pct"/>
          </w:tcPr>
          <w:p w14:paraId="66E698DB" w14:textId="77777777" w:rsidR="005C188D" w:rsidRPr="007C1EF6" w:rsidRDefault="005C188D" w:rsidP="0042173F">
            <w:pPr>
              <w:pStyle w:val="ListParagraph"/>
              <w:widowControl w:val="0"/>
              <w:numPr>
                <w:ilvl w:val="0"/>
                <w:numId w:val="13"/>
              </w:numPr>
              <w:spacing w:after="0" w:line="240" w:lineRule="auto"/>
              <w:ind w:left="0" w:firstLine="82"/>
              <w:jc w:val="center"/>
              <w:rPr>
                <w:rFonts w:ascii="Times New Roman" w:hAnsi="Times New Roman"/>
                <w:sz w:val="23"/>
                <w:szCs w:val="23"/>
              </w:rPr>
            </w:pPr>
          </w:p>
        </w:tc>
        <w:tc>
          <w:tcPr>
            <w:tcW w:w="1221" w:type="pct"/>
          </w:tcPr>
          <w:p w14:paraId="37830112" w14:textId="302AECAC" w:rsidR="005C188D" w:rsidRPr="007C1EF6" w:rsidRDefault="005C188D" w:rsidP="0042173F">
            <w:pPr>
              <w:ind w:right="238"/>
              <w:jc w:val="both"/>
              <w:rPr>
                <w:sz w:val="23"/>
                <w:szCs w:val="23"/>
              </w:rPr>
            </w:pPr>
            <w:r w:rsidRPr="007C1EF6">
              <w:rPr>
                <w:sz w:val="23"/>
                <w:szCs w:val="23"/>
              </w:rPr>
              <w:t>Bộ Tài chính</w:t>
            </w:r>
          </w:p>
        </w:tc>
        <w:tc>
          <w:tcPr>
            <w:tcW w:w="1601" w:type="pct"/>
          </w:tcPr>
          <w:p w14:paraId="37CCDE84" w14:textId="3696BF15" w:rsidR="005C188D" w:rsidRPr="007C1EF6" w:rsidRDefault="005C188D" w:rsidP="0042173F">
            <w:pPr>
              <w:ind w:right="31"/>
              <w:jc w:val="both"/>
              <w:rPr>
                <w:rFonts w:eastAsia="MS Mincho"/>
                <w:bCs/>
                <w:sz w:val="23"/>
                <w:szCs w:val="23"/>
                <w:lang w:val="pt-BR"/>
              </w:rPr>
            </w:pPr>
            <w:r w:rsidRPr="007C1EF6">
              <w:rPr>
                <w:rFonts w:eastAsia="MS Mincho"/>
                <w:bCs/>
                <w:sz w:val="23"/>
                <w:szCs w:val="23"/>
                <w:lang w:val="pt-BR"/>
              </w:rPr>
              <w:t>Báo cáo quyết toán ngân sách địa phương năm 2024 của tỉnh An Giang</w:t>
            </w:r>
          </w:p>
        </w:tc>
        <w:tc>
          <w:tcPr>
            <w:tcW w:w="1980" w:type="pct"/>
          </w:tcPr>
          <w:p w14:paraId="498132AA" w14:textId="45001D53" w:rsidR="005C188D" w:rsidRPr="007C1EF6" w:rsidRDefault="005C188D" w:rsidP="0042173F">
            <w:pPr>
              <w:tabs>
                <w:tab w:val="left" w:leader="dot" w:pos="8900"/>
              </w:tabs>
              <w:ind w:right="68"/>
              <w:jc w:val="both"/>
              <w:rPr>
                <w:sz w:val="23"/>
                <w:szCs w:val="23"/>
                <w:lang w:val="pt-BR"/>
              </w:rPr>
            </w:pPr>
            <w:r w:rsidRPr="007C1EF6">
              <w:rPr>
                <w:sz w:val="23"/>
                <w:szCs w:val="23"/>
                <w:lang w:val="pt-BR"/>
              </w:rPr>
              <w:t>Thu hồi nộp NSTW nguồn CCTL do Bộ Tài chính cấp thừa 500.734 trđ của năm 2024; Có biện pháp xử lý khoản nợ đã tạm ứng cho tỉnh An Giang 33.100 trđ từ năm 2008-2010 nhưng chưa thu hồi</w:t>
            </w:r>
          </w:p>
        </w:tc>
      </w:tr>
      <w:tr w:rsidR="005C188D" w:rsidRPr="007C1EF6" w14:paraId="39905303" w14:textId="77777777" w:rsidTr="005C188D">
        <w:trPr>
          <w:trHeight w:val="170"/>
          <w:jc w:val="center"/>
        </w:trPr>
        <w:tc>
          <w:tcPr>
            <w:tcW w:w="199" w:type="pct"/>
          </w:tcPr>
          <w:p w14:paraId="540AE175" w14:textId="77777777" w:rsidR="005C188D" w:rsidRPr="007C1EF6" w:rsidRDefault="005C188D" w:rsidP="0042173F">
            <w:pPr>
              <w:pStyle w:val="ListParagraph"/>
              <w:widowControl w:val="0"/>
              <w:numPr>
                <w:ilvl w:val="0"/>
                <w:numId w:val="13"/>
              </w:numPr>
              <w:spacing w:after="0" w:line="240" w:lineRule="auto"/>
              <w:ind w:left="0" w:firstLine="82"/>
              <w:jc w:val="center"/>
              <w:rPr>
                <w:rFonts w:ascii="Times New Roman" w:hAnsi="Times New Roman"/>
                <w:sz w:val="23"/>
                <w:szCs w:val="23"/>
              </w:rPr>
            </w:pPr>
          </w:p>
        </w:tc>
        <w:tc>
          <w:tcPr>
            <w:tcW w:w="1221" w:type="pct"/>
          </w:tcPr>
          <w:p w14:paraId="40783A3E" w14:textId="66C4AA6D" w:rsidR="005C188D" w:rsidRPr="007C1EF6" w:rsidRDefault="005C188D" w:rsidP="0042173F">
            <w:pPr>
              <w:ind w:right="238"/>
              <w:jc w:val="both"/>
              <w:rPr>
                <w:sz w:val="23"/>
                <w:szCs w:val="23"/>
              </w:rPr>
            </w:pPr>
            <w:r w:rsidRPr="007C1EF6">
              <w:rPr>
                <w:sz w:val="23"/>
                <w:szCs w:val="23"/>
              </w:rPr>
              <w:t>Bộ Tài chính</w:t>
            </w:r>
          </w:p>
        </w:tc>
        <w:tc>
          <w:tcPr>
            <w:tcW w:w="1601" w:type="pct"/>
          </w:tcPr>
          <w:p w14:paraId="5F5F3636" w14:textId="502D5B33" w:rsidR="005C188D" w:rsidRPr="007C1EF6" w:rsidRDefault="005C188D" w:rsidP="0042173F">
            <w:pPr>
              <w:ind w:right="31"/>
              <w:jc w:val="both"/>
              <w:rPr>
                <w:rFonts w:eastAsia="MS Mincho"/>
                <w:bCs/>
                <w:sz w:val="23"/>
                <w:szCs w:val="23"/>
                <w:lang w:val="pt-BR"/>
              </w:rPr>
            </w:pPr>
            <w:r w:rsidRPr="007C1EF6">
              <w:rPr>
                <w:rFonts w:eastAsia="MS Mincho"/>
                <w:bCs/>
                <w:sz w:val="23"/>
                <w:szCs w:val="23"/>
                <w:lang w:val="pt-BR"/>
              </w:rPr>
              <w:t>Báo cáo quyết toán ngân sách địa phương năm 2024 của tỉnh Vĩnh Long</w:t>
            </w:r>
          </w:p>
        </w:tc>
        <w:tc>
          <w:tcPr>
            <w:tcW w:w="1980" w:type="pct"/>
          </w:tcPr>
          <w:p w14:paraId="670C776B" w14:textId="77777777" w:rsidR="005C188D" w:rsidRPr="007C1EF6" w:rsidRDefault="005C188D" w:rsidP="0042173F">
            <w:pPr>
              <w:tabs>
                <w:tab w:val="left" w:leader="dot" w:pos="8900"/>
              </w:tabs>
              <w:ind w:right="68"/>
              <w:jc w:val="both"/>
              <w:rPr>
                <w:sz w:val="23"/>
                <w:szCs w:val="23"/>
                <w:lang w:val="pt-BR"/>
              </w:rPr>
            </w:pPr>
            <w:r w:rsidRPr="007C1EF6">
              <w:rPr>
                <w:sz w:val="23"/>
                <w:szCs w:val="23"/>
                <w:lang w:val="pt-BR"/>
              </w:rPr>
              <w:t>- Khắc phục hạn chế trong việc bổ sung mục tiêu, nhất là để thực hiện chính sách xã hội cho tỉnh tại thời điểm cuối năm làm hạn chế thời gian phân bổ, sử dụng, giảm hiệu quả sử dụng ngân sách liên quan hạn chế nêu tại mục 2.1. Công tác phân bổ và giao dự toán (trong năm NSTW bổ sung có mục tiêu cho tỉnh 56.878 trđ thời điểm cuối năm, nên tỉnh gặp khó khăn trong phân bổ sử dụng, số chưa phân bổ 51.417 trđ, chiếm 90,4% số bổ sung, được tỉnh chuyển nguồn sang năm sau 48.917 trđ, theo dõi trong kết dư ngân sách năm 2024 là 2.500 trđ, giảm hiệu quả sử dụng ngân sách).</w:t>
            </w:r>
          </w:p>
          <w:p w14:paraId="62AF9FB7" w14:textId="644E2653" w:rsidR="005C188D" w:rsidRPr="007C1EF6" w:rsidRDefault="005C188D" w:rsidP="0042173F">
            <w:pPr>
              <w:tabs>
                <w:tab w:val="left" w:leader="dot" w:pos="8900"/>
              </w:tabs>
              <w:ind w:right="68"/>
              <w:jc w:val="both"/>
              <w:rPr>
                <w:sz w:val="23"/>
                <w:szCs w:val="23"/>
                <w:lang w:val="pt-BR"/>
              </w:rPr>
            </w:pPr>
            <w:r w:rsidRPr="007C1EF6">
              <w:rPr>
                <w:sz w:val="23"/>
                <w:szCs w:val="23"/>
                <w:lang w:val="pt-BR"/>
              </w:rPr>
              <w:t>- Rà soát kết quả thẩm định nguồn CCTL năm 2024 đối với tỉnh Vĩnh Long tại Công văn số 6353/BTC-NSNN ngày 13/5/2025 của Bộ Tài chính về xác định lại nguồn thực hiện CCTL năm 2020, 2021 và nhu cầu, nguồn thực hiện CCTL năm 2022, 2023, 2024. Theo đó, Bộ Tài chính ghi nhận số liệu trích lập từ 10% tiết kiệm chi thường xuyên cao hơn so với số thực tế phát sinh 4.394 trđ và số liệu trích lập theo quy định tại các đơn vị sử dụng ngân sách thấp hơn so với số thực tế phát sinh 46.595 trđ (liên quan hạn chế được nêu tại mục b.2 BCKT  BCQT NSĐP tỉnh Vĩnh Long năm 2024).</w:t>
            </w:r>
          </w:p>
        </w:tc>
      </w:tr>
    </w:tbl>
    <w:p w14:paraId="535DF7E5" w14:textId="77777777" w:rsidR="00E03887" w:rsidRPr="00241D99" w:rsidRDefault="00E03887" w:rsidP="005363D0">
      <w:pPr>
        <w:jc w:val="center"/>
        <w:rPr>
          <w:b/>
          <w:bCs/>
          <w:vanish/>
          <w:sz w:val="24"/>
          <w:szCs w:val="24"/>
        </w:rPr>
      </w:pPr>
    </w:p>
    <w:sectPr w:rsidR="00E03887" w:rsidRPr="00241D99" w:rsidSect="00DA553A">
      <w:headerReference w:type="default" r:id="rId8"/>
      <w:pgSz w:w="16840" w:h="11907" w:orient="landscape" w:code="9"/>
      <w:pgMar w:top="851" w:right="1134" w:bottom="1134" w:left="1134" w:header="425"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6DCF42" w14:textId="77777777" w:rsidR="00765E1B" w:rsidRDefault="00765E1B" w:rsidP="00AC46CC">
      <w:r>
        <w:separator/>
      </w:r>
    </w:p>
  </w:endnote>
  <w:endnote w:type="continuationSeparator" w:id="0">
    <w:p w14:paraId="2216E1A0" w14:textId="77777777" w:rsidR="00765E1B" w:rsidRDefault="00765E1B" w:rsidP="00AC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nCentury Schoolbook">
    <w:altName w:val="Calibri"/>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VnCentury SchoolbookH">
    <w:altName w:val="Calibri"/>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602D0" w14:textId="77777777" w:rsidR="00765E1B" w:rsidRDefault="00765E1B" w:rsidP="00AC46CC">
      <w:r>
        <w:separator/>
      </w:r>
    </w:p>
  </w:footnote>
  <w:footnote w:type="continuationSeparator" w:id="0">
    <w:p w14:paraId="3EEB2E1B" w14:textId="77777777" w:rsidR="00765E1B" w:rsidRDefault="00765E1B" w:rsidP="00AC4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81049" w14:textId="77777777" w:rsidR="001E40AE" w:rsidRPr="00B073AE" w:rsidRDefault="001E40AE" w:rsidP="00B073AE">
    <w:pPr>
      <w:pStyle w:val="Header"/>
      <w:jc w:val="center"/>
      <w:rPr>
        <w:sz w:val="24"/>
        <w:szCs w:val="24"/>
      </w:rPr>
    </w:pPr>
    <w:r w:rsidRPr="00B073AE">
      <w:rPr>
        <w:sz w:val="24"/>
        <w:szCs w:val="24"/>
      </w:rPr>
      <w:fldChar w:fldCharType="begin"/>
    </w:r>
    <w:r w:rsidRPr="00B073AE">
      <w:rPr>
        <w:sz w:val="24"/>
        <w:szCs w:val="24"/>
      </w:rPr>
      <w:instrText xml:space="preserve"> PAGE   \* MERGEFORMAT </w:instrText>
    </w:r>
    <w:r w:rsidRPr="00B073AE">
      <w:rPr>
        <w:sz w:val="24"/>
        <w:szCs w:val="24"/>
      </w:rPr>
      <w:fldChar w:fldCharType="separate"/>
    </w:r>
    <w:r>
      <w:rPr>
        <w:noProof/>
        <w:sz w:val="24"/>
        <w:szCs w:val="24"/>
      </w:rPr>
      <w:t>2</w:t>
    </w:r>
    <w:r w:rsidRPr="00B073AE">
      <w:rPr>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A72C4"/>
    <w:multiLevelType w:val="hybridMultilevel"/>
    <w:tmpl w:val="07D268CA"/>
    <w:lvl w:ilvl="0" w:tplc="95568148">
      <w:start w:val="1"/>
      <w:numFmt w:val="decimal"/>
      <w:lvlText w:val="%1"/>
      <w:lvlJc w:val="center"/>
      <w:pPr>
        <w:tabs>
          <w:tab w:val="num" w:pos="862"/>
        </w:tabs>
        <w:ind w:left="862" w:hanging="436"/>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0B4888"/>
    <w:multiLevelType w:val="hybridMultilevel"/>
    <w:tmpl w:val="DD521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43C38"/>
    <w:multiLevelType w:val="hybridMultilevel"/>
    <w:tmpl w:val="454AB5F4"/>
    <w:lvl w:ilvl="0" w:tplc="E0E2C2DA">
      <w:start w:val="1"/>
      <w:numFmt w:val="decimal"/>
      <w:lvlText w:val="%1."/>
      <w:lvlJc w:val="center"/>
      <w:pPr>
        <w:tabs>
          <w:tab w:val="num" w:pos="722"/>
        </w:tabs>
        <w:ind w:left="722" w:hanging="436"/>
      </w:pPr>
      <w:rPr>
        <w:rFonts w:hint="default"/>
        <w:color w:val="FF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3753AD"/>
    <w:multiLevelType w:val="hybridMultilevel"/>
    <w:tmpl w:val="2E32A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770EF4"/>
    <w:multiLevelType w:val="hybridMultilevel"/>
    <w:tmpl w:val="F0907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85AC7"/>
    <w:multiLevelType w:val="hybridMultilevel"/>
    <w:tmpl w:val="A2948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5169BC"/>
    <w:multiLevelType w:val="hybridMultilevel"/>
    <w:tmpl w:val="77EC2080"/>
    <w:lvl w:ilvl="0" w:tplc="7DCA14C6">
      <w:start w:val="1"/>
      <w:numFmt w:val="decimal"/>
      <w:lvlText w:val="%1"/>
      <w:lvlJc w:val="right"/>
      <w:pPr>
        <w:ind w:left="720" w:hanging="360"/>
      </w:pPr>
      <w:rPr>
        <w:rFonts w:ascii="Times New Roman" w:hAnsi="Times New Roman"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DE36B3"/>
    <w:multiLevelType w:val="hybridMultilevel"/>
    <w:tmpl w:val="271005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97405CC"/>
    <w:multiLevelType w:val="hybridMultilevel"/>
    <w:tmpl w:val="3AAC32A2"/>
    <w:lvl w:ilvl="0" w:tplc="9B0CC1D2">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3126E6"/>
    <w:multiLevelType w:val="hybridMultilevel"/>
    <w:tmpl w:val="C7D24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3502ED"/>
    <w:multiLevelType w:val="hybridMultilevel"/>
    <w:tmpl w:val="F2C88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FD494D"/>
    <w:multiLevelType w:val="hybridMultilevel"/>
    <w:tmpl w:val="DB8E603E"/>
    <w:lvl w:ilvl="0" w:tplc="BB42705C">
      <w:start w:val="1"/>
      <w:numFmt w:val="decimal"/>
      <w:suff w:val="space"/>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79103166"/>
    <w:multiLevelType w:val="hybridMultilevel"/>
    <w:tmpl w:val="42A65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10"/>
  </w:num>
  <w:num w:numId="4">
    <w:abstractNumId w:val="1"/>
  </w:num>
  <w:num w:numId="5">
    <w:abstractNumId w:val="4"/>
  </w:num>
  <w:num w:numId="6">
    <w:abstractNumId w:val="11"/>
  </w:num>
  <w:num w:numId="7">
    <w:abstractNumId w:val="0"/>
  </w:num>
  <w:num w:numId="8">
    <w:abstractNumId w:val="12"/>
  </w:num>
  <w:num w:numId="9">
    <w:abstractNumId w:val="3"/>
  </w:num>
  <w:num w:numId="10">
    <w:abstractNumId w:val="9"/>
  </w:num>
  <w:num w:numId="11">
    <w:abstractNumId w:val="6"/>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DC0"/>
    <w:rsid w:val="00002591"/>
    <w:rsid w:val="000030CE"/>
    <w:rsid w:val="00003E4A"/>
    <w:rsid w:val="00003E6E"/>
    <w:rsid w:val="00003EF1"/>
    <w:rsid w:val="000046E1"/>
    <w:rsid w:val="00004AB7"/>
    <w:rsid w:val="00004B9A"/>
    <w:rsid w:val="00006915"/>
    <w:rsid w:val="00006ECE"/>
    <w:rsid w:val="00016ACA"/>
    <w:rsid w:val="00016D2F"/>
    <w:rsid w:val="0002136F"/>
    <w:rsid w:val="0002155E"/>
    <w:rsid w:val="00021C98"/>
    <w:rsid w:val="00023844"/>
    <w:rsid w:val="00024FDD"/>
    <w:rsid w:val="00025D15"/>
    <w:rsid w:val="00027F2A"/>
    <w:rsid w:val="0003055A"/>
    <w:rsid w:val="0003132F"/>
    <w:rsid w:val="00031523"/>
    <w:rsid w:val="00033BFC"/>
    <w:rsid w:val="00037EAB"/>
    <w:rsid w:val="0004016A"/>
    <w:rsid w:val="000415DF"/>
    <w:rsid w:val="00041976"/>
    <w:rsid w:val="000433AA"/>
    <w:rsid w:val="00043B9B"/>
    <w:rsid w:val="000442C1"/>
    <w:rsid w:val="00045D97"/>
    <w:rsid w:val="00050EE8"/>
    <w:rsid w:val="0005244A"/>
    <w:rsid w:val="00052EA4"/>
    <w:rsid w:val="00053741"/>
    <w:rsid w:val="00053CC6"/>
    <w:rsid w:val="00053D81"/>
    <w:rsid w:val="00055EAE"/>
    <w:rsid w:val="000613AF"/>
    <w:rsid w:val="0006247E"/>
    <w:rsid w:val="0006346E"/>
    <w:rsid w:val="00064035"/>
    <w:rsid w:val="00065955"/>
    <w:rsid w:val="0006641D"/>
    <w:rsid w:val="0006783A"/>
    <w:rsid w:val="00070F3F"/>
    <w:rsid w:val="000713FB"/>
    <w:rsid w:val="00072693"/>
    <w:rsid w:val="000727EF"/>
    <w:rsid w:val="00072CA0"/>
    <w:rsid w:val="00075551"/>
    <w:rsid w:val="0007562D"/>
    <w:rsid w:val="00075670"/>
    <w:rsid w:val="000756E7"/>
    <w:rsid w:val="00076AC4"/>
    <w:rsid w:val="00077074"/>
    <w:rsid w:val="0007784B"/>
    <w:rsid w:val="0007793C"/>
    <w:rsid w:val="00077B85"/>
    <w:rsid w:val="0008073C"/>
    <w:rsid w:val="0008199E"/>
    <w:rsid w:val="000826E5"/>
    <w:rsid w:val="00083134"/>
    <w:rsid w:val="00084F5E"/>
    <w:rsid w:val="0008532D"/>
    <w:rsid w:val="0008574A"/>
    <w:rsid w:val="00085B64"/>
    <w:rsid w:val="00091A38"/>
    <w:rsid w:val="000921EC"/>
    <w:rsid w:val="00092497"/>
    <w:rsid w:val="0009255D"/>
    <w:rsid w:val="000936C4"/>
    <w:rsid w:val="000967E5"/>
    <w:rsid w:val="00097AF4"/>
    <w:rsid w:val="000A0374"/>
    <w:rsid w:val="000A10B4"/>
    <w:rsid w:val="000A5CAC"/>
    <w:rsid w:val="000A67A0"/>
    <w:rsid w:val="000A697C"/>
    <w:rsid w:val="000B2286"/>
    <w:rsid w:val="000B3948"/>
    <w:rsid w:val="000B5CFB"/>
    <w:rsid w:val="000B5DAC"/>
    <w:rsid w:val="000B6CC0"/>
    <w:rsid w:val="000B7D9F"/>
    <w:rsid w:val="000C071A"/>
    <w:rsid w:val="000C288C"/>
    <w:rsid w:val="000C35CD"/>
    <w:rsid w:val="000C5B61"/>
    <w:rsid w:val="000C5E25"/>
    <w:rsid w:val="000D0E78"/>
    <w:rsid w:val="000D16B9"/>
    <w:rsid w:val="000D2345"/>
    <w:rsid w:val="000D2F77"/>
    <w:rsid w:val="000D4485"/>
    <w:rsid w:val="000D4E94"/>
    <w:rsid w:val="000D7DB8"/>
    <w:rsid w:val="000E0667"/>
    <w:rsid w:val="000E11FE"/>
    <w:rsid w:val="000E4B25"/>
    <w:rsid w:val="000E55F1"/>
    <w:rsid w:val="000E5AB5"/>
    <w:rsid w:val="000E765D"/>
    <w:rsid w:val="000F07F0"/>
    <w:rsid w:val="000F1014"/>
    <w:rsid w:val="000F11A7"/>
    <w:rsid w:val="000F1A70"/>
    <w:rsid w:val="000F3784"/>
    <w:rsid w:val="000F37C7"/>
    <w:rsid w:val="000F3D8F"/>
    <w:rsid w:val="000F42AF"/>
    <w:rsid w:val="000F4F9F"/>
    <w:rsid w:val="000F57A7"/>
    <w:rsid w:val="000F70C1"/>
    <w:rsid w:val="000F7B2B"/>
    <w:rsid w:val="001064E4"/>
    <w:rsid w:val="0010798A"/>
    <w:rsid w:val="00111402"/>
    <w:rsid w:val="00112EBB"/>
    <w:rsid w:val="00114627"/>
    <w:rsid w:val="00114C21"/>
    <w:rsid w:val="001177AB"/>
    <w:rsid w:val="00120296"/>
    <w:rsid w:val="001202BA"/>
    <w:rsid w:val="0012101A"/>
    <w:rsid w:val="001217EA"/>
    <w:rsid w:val="001226BF"/>
    <w:rsid w:val="00122749"/>
    <w:rsid w:val="0012286F"/>
    <w:rsid w:val="001229B1"/>
    <w:rsid w:val="00123CA3"/>
    <w:rsid w:val="00125685"/>
    <w:rsid w:val="0012694B"/>
    <w:rsid w:val="00126AA5"/>
    <w:rsid w:val="001271EC"/>
    <w:rsid w:val="00131376"/>
    <w:rsid w:val="0013395F"/>
    <w:rsid w:val="001348F4"/>
    <w:rsid w:val="00135981"/>
    <w:rsid w:val="00135E98"/>
    <w:rsid w:val="00140D86"/>
    <w:rsid w:val="00143089"/>
    <w:rsid w:val="00144A4E"/>
    <w:rsid w:val="00144DCD"/>
    <w:rsid w:val="00145223"/>
    <w:rsid w:val="0014607D"/>
    <w:rsid w:val="00147570"/>
    <w:rsid w:val="00150000"/>
    <w:rsid w:val="0015057E"/>
    <w:rsid w:val="00151002"/>
    <w:rsid w:val="00151800"/>
    <w:rsid w:val="001543FD"/>
    <w:rsid w:val="00156583"/>
    <w:rsid w:val="00161F72"/>
    <w:rsid w:val="00162BC1"/>
    <w:rsid w:val="00162F14"/>
    <w:rsid w:val="00163B73"/>
    <w:rsid w:val="00164512"/>
    <w:rsid w:val="00165A9C"/>
    <w:rsid w:val="00166461"/>
    <w:rsid w:val="0017580B"/>
    <w:rsid w:val="001758BA"/>
    <w:rsid w:val="00176412"/>
    <w:rsid w:val="0017719E"/>
    <w:rsid w:val="00177B45"/>
    <w:rsid w:val="00177E12"/>
    <w:rsid w:val="00180755"/>
    <w:rsid w:val="001843AF"/>
    <w:rsid w:val="00184772"/>
    <w:rsid w:val="00185C19"/>
    <w:rsid w:val="001860F5"/>
    <w:rsid w:val="00186BEB"/>
    <w:rsid w:val="00186BFD"/>
    <w:rsid w:val="0019047C"/>
    <w:rsid w:val="0019075F"/>
    <w:rsid w:val="00191072"/>
    <w:rsid w:val="00194CB6"/>
    <w:rsid w:val="00195E24"/>
    <w:rsid w:val="0019676E"/>
    <w:rsid w:val="00196A55"/>
    <w:rsid w:val="00197937"/>
    <w:rsid w:val="001A3E97"/>
    <w:rsid w:val="001A5FC7"/>
    <w:rsid w:val="001A76EB"/>
    <w:rsid w:val="001B207D"/>
    <w:rsid w:val="001B2127"/>
    <w:rsid w:val="001B3783"/>
    <w:rsid w:val="001B37B1"/>
    <w:rsid w:val="001B4299"/>
    <w:rsid w:val="001B7B19"/>
    <w:rsid w:val="001C14B7"/>
    <w:rsid w:val="001C2E63"/>
    <w:rsid w:val="001C3336"/>
    <w:rsid w:val="001C40DE"/>
    <w:rsid w:val="001C5025"/>
    <w:rsid w:val="001C5E2C"/>
    <w:rsid w:val="001C796D"/>
    <w:rsid w:val="001C7F31"/>
    <w:rsid w:val="001D24FB"/>
    <w:rsid w:val="001D30B6"/>
    <w:rsid w:val="001D6547"/>
    <w:rsid w:val="001E049F"/>
    <w:rsid w:val="001E19B1"/>
    <w:rsid w:val="001E27B7"/>
    <w:rsid w:val="001E40AE"/>
    <w:rsid w:val="001E55EC"/>
    <w:rsid w:val="001E69C8"/>
    <w:rsid w:val="001E6F3E"/>
    <w:rsid w:val="001F031F"/>
    <w:rsid w:val="001F202B"/>
    <w:rsid w:val="001F2A6B"/>
    <w:rsid w:val="001F3E17"/>
    <w:rsid w:val="001F472B"/>
    <w:rsid w:val="001F61FF"/>
    <w:rsid w:val="001F74D0"/>
    <w:rsid w:val="0020248F"/>
    <w:rsid w:val="00203982"/>
    <w:rsid w:val="00204141"/>
    <w:rsid w:val="00204AB3"/>
    <w:rsid w:val="00205597"/>
    <w:rsid w:val="00205601"/>
    <w:rsid w:val="00205A28"/>
    <w:rsid w:val="0020648A"/>
    <w:rsid w:val="00206A39"/>
    <w:rsid w:val="002100E7"/>
    <w:rsid w:val="00210C8E"/>
    <w:rsid w:val="002135DB"/>
    <w:rsid w:val="002200DC"/>
    <w:rsid w:val="002206A4"/>
    <w:rsid w:val="00222A26"/>
    <w:rsid w:val="00227449"/>
    <w:rsid w:val="00230120"/>
    <w:rsid w:val="002312DA"/>
    <w:rsid w:val="002337CF"/>
    <w:rsid w:val="00233F13"/>
    <w:rsid w:val="002342AF"/>
    <w:rsid w:val="002344F5"/>
    <w:rsid w:val="002357CE"/>
    <w:rsid w:val="00236EF4"/>
    <w:rsid w:val="00241D99"/>
    <w:rsid w:val="002427FE"/>
    <w:rsid w:val="002432AC"/>
    <w:rsid w:val="0024363B"/>
    <w:rsid w:val="00244C84"/>
    <w:rsid w:val="0024574D"/>
    <w:rsid w:val="00245C4E"/>
    <w:rsid w:val="002501FD"/>
    <w:rsid w:val="002526DF"/>
    <w:rsid w:val="00253E60"/>
    <w:rsid w:val="00253F20"/>
    <w:rsid w:val="00261C7D"/>
    <w:rsid w:val="00263612"/>
    <w:rsid w:val="00263A3F"/>
    <w:rsid w:val="0026512B"/>
    <w:rsid w:val="00266326"/>
    <w:rsid w:val="00270630"/>
    <w:rsid w:val="00271F07"/>
    <w:rsid w:val="00272EE6"/>
    <w:rsid w:val="00273B04"/>
    <w:rsid w:val="002776A1"/>
    <w:rsid w:val="002821CD"/>
    <w:rsid w:val="002825E3"/>
    <w:rsid w:val="00283166"/>
    <w:rsid w:val="00284BCB"/>
    <w:rsid w:val="0028512C"/>
    <w:rsid w:val="00285354"/>
    <w:rsid w:val="00290F21"/>
    <w:rsid w:val="00292F87"/>
    <w:rsid w:val="002A1A17"/>
    <w:rsid w:val="002A47B2"/>
    <w:rsid w:val="002A54B7"/>
    <w:rsid w:val="002A7C32"/>
    <w:rsid w:val="002B005D"/>
    <w:rsid w:val="002B377E"/>
    <w:rsid w:val="002B4135"/>
    <w:rsid w:val="002B5C9A"/>
    <w:rsid w:val="002B64E8"/>
    <w:rsid w:val="002B68DB"/>
    <w:rsid w:val="002C0676"/>
    <w:rsid w:val="002C0968"/>
    <w:rsid w:val="002C0C5C"/>
    <w:rsid w:val="002C2CFD"/>
    <w:rsid w:val="002C486E"/>
    <w:rsid w:val="002C4A1A"/>
    <w:rsid w:val="002C59DB"/>
    <w:rsid w:val="002C76DA"/>
    <w:rsid w:val="002C7E8D"/>
    <w:rsid w:val="002D11FE"/>
    <w:rsid w:val="002D121D"/>
    <w:rsid w:val="002D1BAB"/>
    <w:rsid w:val="002D2A4B"/>
    <w:rsid w:val="002D3277"/>
    <w:rsid w:val="002D39CD"/>
    <w:rsid w:val="002D4B8D"/>
    <w:rsid w:val="002D612D"/>
    <w:rsid w:val="002E118C"/>
    <w:rsid w:val="002E1C76"/>
    <w:rsid w:val="002E21DE"/>
    <w:rsid w:val="002E2885"/>
    <w:rsid w:val="002E4363"/>
    <w:rsid w:val="002E4ACD"/>
    <w:rsid w:val="002E5ED8"/>
    <w:rsid w:val="002F09DC"/>
    <w:rsid w:val="002F0B8C"/>
    <w:rsid w:val="002F5AD1"/>
    <w:rsid w:val="002F5FEB"/>
    <w:rsid w:val="002F60F0"/>
    <w:rsid w:val="002F6C25"/>
    <w:rsid w:val="002F708D"/>
    <w:rsid w:val="003020C5"/>
    <w:rsid w:val="00302D91"/>
    <w:rsid w:val="003041A2"/>
    <w:rsid w:val="00304793"/>
    <w:rsid w:val="00304A7B"/>
    <w:rsid w:val="00304B55"/>
    <w:rsid w:val="003054DB"/>
    <w:rsid w:val="0030596C"/>
    <w:rsid w:val="0030619F"/>
    <w:rsid w:val="00306B30"/>
    <w:rsid w:val="00307462"/>
    <w:rsid w:val="0030767C"/>
    <w:rsid w:val="003076DC"/>
    <w:rsid w:val="00307EBC"/>
    <w:rsid w:val="00313F82"/>
    <w:rsid w:val="00314655"/>
    <w:rsid w:val="003170F7"/>
    <w:rsid w:val="00322130"/>
    <w:rsid w:val="0032465F"/>
    <w:rsid w:val="003255C7"/>
    <w:rsid w:val="00325767"/>
    <w:rsid w:val="00325CC1"/>
    <w:rsid w:val="00326E60"/>
    <w:rsid w:val="0032744E"/>
    <w:rsid w:val="003341E0"/>
    <w:rsid w:val="0033484B"/>
    <w:rsid w:val="00335BC1"/>
    <w:rsid w:val="00336C5C"/>
    <w:rsid w:val="003400E4"/>
    <w:rsid w:val="003405CF"/>
    <w:rsid w:val="00340643"/>
    <w:rsid w:val="00341CA3"/>
    <w:rsid w:val="003428B7"/>
    <w:rsid w:val="00343984"/>
    <w:rsid w:val="00344CE6"/>
    <w:rsid w:val="003461F1"/>
    <w:rsid w:val="003478DF"/>
    <w:rsid w:val="003510F1"/>
    <w:rsid w:val="003523A2"/>
    <w:rsid w:val="00352E66"/>
    <w:rsid w:val="003547E3"/>
    <w:rsid w:val="00354948"/>
    <w:rsid w:val="0035741E"/>
    <w:rsid w:val="00357CF1"/>
    <w:rsid w:val="00361259"/>
    <w:rsid w:val="00361471"/>
    <w:rsid w:val="003625A3"/>
    <w:rsid w:val="00362FC0"/>
    <w:rsid w:val="00364136"/>
    <w:rsid w:val="003649CB"/>
    <w:rsid w:val="0036654D"/>
    <w:rsid w:val="00366632"/>
    <w:rsid w:val="00370B8D"/>
    <w:rsid w:val="00370FB8"/>
    <w:rsid w:val="003711BA"/>
    <w:rsid w:val="00373B4C"/>
    <w:rsid w:val="00373E38"/>
    <w:rsid w:val="00373E90"/>
    <w:rsid w:val="00374522"/>
    <w:rsid w:val="00374BDF"/>
    <w:rsid w:val="00376339"/>
    <w:rsid w:val="003763CC"/>
    <w:rsid w:val="00380078"/>
    <w:rsid w:val="00380F63"/>
    <w:rsid w:val="003832CD"/>
    <w:rsid w:val="003834DC"/>
    <w:rsid w:val="00383FBA"/>
    <w:rsid w:val="0038445E"/>
    <w:rsid w:val="00385478"/>
    <w:rsid w:val="00386D1E"/>
    <w:rsid w:val="003876AC"/>
    <w:rsid w:val="003876D1"/>
    <w:rsid w:val="00391277"/>
    <w:rsid w:val="00393024"/>
    <w:rsid w:val="0039372C"/>
    <w:rsid w:val="003956B0"/>
    <w:rsid w:val="00395C4F"/>
    <w:rsid w:val="00397016"/>
    <w:rsid w:val="003A0DF7"/>
    <w:rsid w:val="003A3E0A"/>
    <w:rsid w:val="003A4A16"/>
    <w:rsid w:val="003A52A7"/>
    <w:rsid w:val="003A53DB"/>
    <w:rsid w:val="003A5AD7"/>
    <w:rsid w:val="003A7154"/>
    <w:rsid w:val="003A7C60"/>
    <w:rsid w:val="003B1363"/>
    <w:rsid w:val="003B2A1C"/>
    <w:rsid w:val="003B2B8E"/>
    <w:rsid w:val="003B2C09"/>
    <w:rsid w:val="003B425A"/>
    <w:rsid w:val="003B56E4"/>
    <w:rsid w:val="003B62C6"/>
    <w:rsid w:val="003B6AF9"/>
    <w:rsid w:val="003B6D03"/>
    <w:rsid w:val="003B74BC"/>
    <w:rsid w:val="003B7C0A"/>
    <w:rsid w:val="003C1C94"/>
    <w:rsid w:val="003C4458"/>
    <w:rsid w:val="003C4E2E"/>
    <w:rsid w:val="003C69BC"/>
    <w:rsid w:val="003C6E75"/>
    <w:rsid w:val="003C7963"/>
    <w:rsid w:val="003C7E41"/>
    <w:rsid w:val="003D1F54"/>
    <w:rsid w:val="003D527D"/>
    <w:rsid w:val="003E041A"/>
    <w:rsid w:val="003E2904"/>
    <w:rsid w:val="003E42E2"/>
    <w:rsid w:val="003E6D5D"/>
    <w:rsid w:val="003E7F54"/>
    <w:rsid w:val="003F03D8"/>
    <w:rsid w:val="003F0809"/>
    <w:rsid w:val="003F0CE4"/>
    <w:rsid w:val="003F10A8"/>
    <w:rsid w:val="003F3B30"/>
    <w:rsid w:val="003F62EF"/>
    <w:rsid w:val="0040122B"/>
    <w:rsid w:val="00401EC2"/>
    <w:rsid w:val="004028B7"/>
    <w:rsid w:val="004033A1"/>
    <w:rsid w:val="00406702"/>
    <w:rsid w:val="004071EF"/>
    <w:rsid w:val="004146EE"/>
    <w:rsid w:val="00414765"/>
    <w:rsid w:val="0041704D"/>
    <w:rsid w:val="0042173F"/>
    <w:rsid w:val="00422D5B"/>
    <w:rsid w:val="0042450D"/>
    <w:rsid w:val="004255F3"/>
    <w:rsid w:val="00426BC5"/>
    <w:rsid w:val="0043013C"/>
    <w:rsid w:val="00431152"/>
    <w:rsid w:val="00431AEC"/>
    <w:rsid w:val="00433401"/>
    <w:rsid w:val="00433D5C"/>
    <w:rsid w:val="00435F8C"/>
    <w:rsid w:val="00436225"/>
    <w:rsid w:val="00436496"/>
    <w:rsid w:val="00440441"/>
    <w:rsid w:val="0044310E"/>
    <w:rsid w:val="00443B3D"/>
    <w:rsid w:val="0044407E"/>
    <w:rsid w:val="0044422B"/>
    <w:rsid w:val="004444FB"/>
    <w:rsid w:val="004445DF"/>
    <w:rsid w:val="004447CD"/>
    <w:rsid w:val="00444814"/>
    <w:rsid w:val="00445AB7"/>
    <w:rsid w:val="004475A0"/>
    <w:rsid w:val="004505D4"/>
    <w:rsid w:val="0045106B"/>
    <w:rsid w:val="00453C8C"/>
    <w:rsid w:val="004541B1"/>
    <w:rsid w:val="00454287"/>
    <w:rsid w:val="004543B9"/>
    <w:rsid w:val="00454C4A"/>
    <w:rsid w:val="004550AF"/>
    <w:rsid w:val="004551C5"/>
    <w:rsid w:val="0045556C"/>
    <w:rsid w:val="00455FBF"/>
    <w:rsid w:val="00456498"/>
    <w:rsid w:val="004568E4"/>
    <w:rsid w:val="00457671"/>
    <w:rsid w:val="004578D0"/>
    <w:rsid w:val="00457C8B"/>
    <w:rsid w:val="00460815"/>
    <w:rsid w:val="00460AED"/>
    <w:rsid w:val="00462CE9"/>
    <w:rsid w:val="00462F9F"/>
    <w:rsid w:val="0046408E"/>
    <w:rsid w:val="004654A0"/>
    <w:rsid w:val="00466FC3"/>
    <w:rsid w:val="004674EC"/>
    <w:rsid w:val="004702DA"/>
    <w:rsid w:val="0047096D"/>
    <w:rsid w:val="0047328E"/>
    <w:rsid w:val="0047526A"/>
    <w:rsid w:val="00477645"/>
    <w:rsid w:val="0047781E"/>
    <w:rsid w:val="00481BD3"/>
    <w:rsid w:val="00482984"/>
    <w:rsid w:val="0048398B"/>
    <w:rsid w:val="00483D9D"/>
    <w:rsid w:val="00485D58"/>
    <w:rsid w:val="004863EE"/>
    <w:rsid w:val="00486FD9"/>
    <w:rsid w:val="00490118"/>
    <w:rsid w:val="00491E2D"/>
    <w:rsid w:val="00492FCC"/>
    <w:rsid w:val="0049357C"/>
    <w:rsid w:val="00494761"/>
    <w:rsid w:val="004974D8"/>
    <w:rsid w:val="004A0756"/>
    <w:rsid w:val="004A0E4D"/>
    <w:rsid w:val="004A16F2"/>
    <w:rsid w:val="004A1B6B"/>
    <w:rsid w:val="004A4A67"/>
    <w:rsid w:val="004A5A69"/>
    <w:rsid w:val="004A5B51"/>
    <w:rsid w:val="004A5DE3"/>
    <w:rsid w:val="004A6998"/>
    <w:rsid w:val="004A72E8"/>
    <w:rsid w:val="004B1A3F"/>
    <w:rsid w:val="004B23BC"/>
    <w:rsid w:val="004B2F41"/>
    <w:rsid w:val="004B4390"/>
    <w:rsid w:val="004C133C"/>
    <w:rsid w:val="004C3B3A"/>
    <w:rsid w:val="004C7483"/>
    <w:rsid w:val="004D1CBE"/>
    <w:rsid w:val="004D49B3"/>
    <w:rsid w:val="004D566B"/>
    <w:rsid w:val="004D5984"/>
    <w:rsid w:val="004D59F2"/>
    <w:rsid w:val="004D6D52"/>
    <w:rsid w:val="004D74DD"/>
    <w:rsid w:val="004D7BF9"/>
    <w:rsid w:val="004E0780"/>
    <w:rsid w:val="004E29CC"/>
    <w:rsid w:val="004E391D"/>
    <w:rsid w:val="004E6645"/>
    <w:rsid w:val="004F02FB"/>
    <w:rsid w:val="004F1125"/>
    <w:rsid w:val="004F1CF1"/>
    <w:rsid w:val="004F47D0"/>
    <w:rsid w:val="004F488B"/>
    <w:rsid w:val="004F55D4"/>
    <w:rsid w:val="004F6517"/>
    <w:rsid w:val="004F7A7E"/>
    <w:rsid w:val="00502AAC"/>
    <w:rsid w:val="00502C5B"/>
    <w:rsid w:val="00503FB5"/>
    <w:rsid w:val="00505239"/>
    <w:rsid w:val="00506254"/>
    <w:rsid w:val="00512EA0"/>
    <w:rsid w:val="00512FFD"/>
    <w:rsid w:val="00515064"/>
    <w:rsid w:val="0051531E"/>
    <w:rsid w:val="005175B7"/>
    <w:rsid w:val="00517D37"/>
    <w:rsid w:val="00520669"/>
    <w:rsid w:val="00520945"/>
    <w:rsid w:val="005220EF"/>
    <w:rsid w:val="00522CFA"/>
    <w:rsid w:val="00522E98"/>
    <w:rsid w:val="00523312"/>
    <w:rsid w:val="00523ACA"/>
    <w:rsid w:val="00525140"/>
    <w:rsid w:val="00525400"/>
    <w:rsid w:val="00532DE2"/>
    <w:rsid w:val="00533BA2"/>
    <w:rsid w:val="00533FB0"/>
    <w:rsid w:val="00534230"/>
    <w:rsid w:val="005350D8"/>
    <w:rsid w:val="00535CDA"/>
    <w:rsid w:val="005363D0"/>
    <w:rsid w:val="00536508"/>
    <w:rsid w:val="00536F24"/>
    <w:rsid w:val="005402D6"/>
    <w:rsid w:val="0054058F"/>
    <w:rsid w:val="00540BFF"/>
    <w:rsid w:val="00541B71"/>
    <w:rsid w:val="00541F01"/>
    <w:rsid w:val="00543254"/>
    <w:rsid w:val="00545E2D"/>
    <w:rsid w:val="00546E9F"/>
    <w:rsid w:val="00551173"/>
    <w:rsid w:val="00553D17"/>
    <w:rsid w:val="00556F92"/>
    <w:rsid w:val="005573C4"/>
    <w:rsid w:val="005602E8"/>
    <w:rsid w:val="0056152C"/>
    <w:rsid w:val="00562DC1"/>
    <w:rsid w:val="005633F2"/>
    <w:rsid w:val="0056669F"/>
    <w:rsid w:val="005669E6"/>
    <w:rsid w:val="00567117"/>
    <w:rsid w:val="005706D3"/>
    <w:rsid w:val="005738D9"/>
    <w:rsid w:val="00574246"/>
    <w:rsid w:val="0057460D"/>
    <w:rsid w:val="00574B15"/>
    <w:rsid w:val="00574C6A"/>
    <w:rsid w:val="00574DEE"/>
    <w:rsid w:val="00574F70"/>
    <w:rsid w:val="00575A4F"/>
    <w:rsid w:val="00575D59"/>
    <w:rsid w:val="00576E5C"/>
    <w:rsid w:val="00580071"/>
    <w:rsid w:val="00580D4B"/>
    <w:rsid w:val="005827DB"/>
    <w:rsid w:val="005868EE"/>
    <w:rsid w:val="00587BC1"/>
    <w:rsid w:val="00590DFA"/>
    <w:rsid w:val="005920D5"/>
    <w:rsid w:val="0059458B"/>
    <w:rsid w:val="00595EE6"/>
    <w:rsid w:val="00596BCC"/>
    <w:rsid w:val="00596DAD"/>
    <w:rsid w:val="005973CB"/>
    <w:rsid w:val="005A0D9D"/>
    <w:rsid w:val="005A1537"/>
    <w:rsid w:val="005A33C5"/>
    <w:rsid w:val="005A4C22"/>
    <w:rsid w:val="005A4FD6"/>
    <w:rsid w:val="005A6C1A"/>
    <w:rsid w:val="005A79C5"/>
    <w:rsid w:val="005B0579"/>
    <w:rsid w:val="005B2824"/>
    <w:rsid w:val="005B29CE"/>
    <w:rsid w:val="005B3114"/>
    <w:rsid w:val="005B4D93"/>
    <w:rsid w:val="005B56B2"/>
    <w:rsid w:val="005B6CAA"/>
    <w:rsid w:val="005C188D"/>
    <w:rsid w:val="005C2641"/>
    <w:rsid w:val="005C274A"/>
    <w:rsid w:val="005C3727"/>
    <w:rsid w:val="005C5C25"/>
    <w:rsid w:val="005D0D96"/>
    <w:rsid w:val="005D0DC3"/>
    <w:rsid w:val="005D103C"/>
    <w:rsid w:val="005D68B5"/>
    <w:rsid w:val="005E19BF"/>
    <w:rsid w:val="005E3207"/>
    <w:rsid w:val="005E3998"/>
    <w:rsid w:val="005E556C"/>
    <w:rsid w:val="005E6E81"/>
    <w:rsid w:val="005E70C8"/>
    <w:rsid w:val="005E7C03"/>
    <w:rsid w:val="005E7E76"/>
    <w:rsid w:val="005E7FF6"/>
    <w:rsid w:val="005F08C2"/>
    <w:rsid w:val="005F0A2E"/>
    <w:rsid w:val="005F0A7F"/>
    <w:rsid w:val="005F0BE4"/>
    <w:rsid w:val="005F5BB6"/>
    <w:rsid w:val="006005BE"/>
    <w:rsid w:val="0060078B"/>
    <w:rsid w:val="0060107A"/>
    <w:rsid w:val="00601C97"/>
    <w:rsid w:val="00603FEE"/>
    <w:rsid w:val="00604EF0"/>
    <w:rsid w:val="00605AA7"/>
    <w:rsid w:val="00607162"/>
    <w:rsid w:val="00607651"/>
    <w:rsid w:val="00607F37"/>
    <w:rsid w:val="00610061"/>
    <w:rsid w:val="006115DE"/>
    <w:rsid w:val="00614EFD"/>
    <w:rsid w:val="00616E42"/>
    <w:rsid w:val="00617140"/>
    <w:rsid w:val="006172D9"/>
    <w:rsid w:val="006230D0"/>
    <w:rsid w:val="00623888"/>
    <w:rsid w:val="00624641"/>
    <w:rsid w:val="00625CD6"/>
    <w:rsid w:val="006272BF"/>
    <w:rsid w:val="00630008"/>
    <w:rsid w:val="00632237"/>
    <w:rsid w:val="00632983"/>
    <w:rsid w:val="0063493F"/>
    <w:rsid w:val="006364CA"/>
    <w:rsid w:val="00637763"/>
    <w:rsid w:val="006402C3"/>
    <w:rsid w:val="0064094C"/>
    <w:rsid w:val="00640FCF"/>
    <w:rsid w:val="006420D4"/>
    <w:rsid w:val="0064306C"/>
    <w:rsid w:val="006433A5"/>
    <w:rsid w:val="00643869"/>
    <w:rsid w:val="0064391F"/>
    <w:rsid w:val="00643EF2"/>
    <w:rsid w:val="00644607"/>
    <w:rsid w:val="00647FB3"/>
    <w:rsid w:val="00651565"/>
    <w:rsid w:val="00654467"/>
    <w:rsid w:val="00654A02"/>
    <w:rsid w:val="006567C0"/>
    <w:rsid w:val="00656C86"/>
    <w:rsid w:val="00657726"/>
    <w:rsid w:val="00657CD8"/>
    <w:rsid w:val="00657F14"/>
    <w:rsid w:val="006603CA"/>
    <w:rsid w:val="00661923"/>
    <w:rsid w:val="00662145"/>
    <w:rsid w:val="00664FF3"/>
    <w:rsid w:val="0066606A"/>
    <w:rsid w:val="00667FCC"/>
    <w:rsid w:val="00670FB4"/>
    <w:rsid w:val="00672210"/>
    <w:rsid w:val="00673D89"/>
    <w:rsid w:val="006769C5"/>
    <w:rsid w:val="0067747D"/>
    <w:rsid w:val="00677B97"/>
    <w:rsid w:val="00681D0E"/>
    <w:rsid w:val="00682849"/>
    <w:rsid w:val="00683BFF"/>
    <w:rsid w:val="00684478"/>
    <w:rsid w:val="006877D6"/>
    <w:rsid w:val="00687E34"/>
    <w:rsid w:val="006909A3"/>
    <w:rsid w:val="00690EAF"/>
    <w:rsid w:val="006974C4"/>
    <w:rsid w:val="006A0C72"/>
    <w:rsid w:val="006A145B"/>
    <w:rsid w:val="006A272F"/>
    <w:rsid w:val="006A323F"/>
    <w:rsid w:val="006A4C12"/>
    <w:rsid w:val="006A4F61"/>
    <w:rsid w:val="006A5984"/>
    <w:rsid w:val="006A6C51"/>
    <w:rsid w:val="006A6F6F"/>
    <w:rsid w:val="006A740A"/>
    <w:rsid w:val="006A7C0E"/>
    <w:rsid w:val="006B115E"/>
    <w:rsid w:val="006B1813"/>
    <w:rsid w:val="006B2CD3"/>
    <w:rsid w:val="006B3070"/>
    <w:rsid w:val="006B4996"/>
    <w:rsid w:val="006B49C1"/>
    <w:rsid w:val="006B5499"/>
    <w:rsid w:val="006B60D7"/>
    <w:rsid w:val="006B6492"/>
    <w:rsid w:val="006C1847"/>
    <w:rsid w:val="006C3CEC"/>
    <w:rsid w:val="006C3F26"/>
    <w:rsid w:val="006C42A8"/>
    <w:rsid w:val="006C4870"/>
    <w:rsid w:val="006C5701"/>
    <w:rsid w:val="006C5A74"/>
    <w:rsid w:val="006D145A"/>
    <w:rsid w:val="006D16D7"/>
    <w:rsid w:val="006D2038"/>
    <w:rsid w:val="006D243E"/>
    <w:rsid w:val="006D4BCC"/>
    <w:rsid w:val="006D64B8"/>
    <w:rsid w:val="006D6DE0"/>
    <w:rsid w:val="006E0D67"/>
    <w:rsid w:val="006E561D"/>
    <w:rsid w:val="006E7EEC"/>
    <w:rsid w:val="006F0745"/>
    <w:rsid w:val="006F0D40"/>
    <w:rsid w:val="006F1043"/>
    <w:rsid w:val="006F1B7A"/>
    <w:rsid w:val="006F6136"/>
    <w:rsid w:val="006F6F09"/>
    <w:rsid w:val="00700986"/>
    <w:rsid w:val="0070102C"/>
    <w:rsid w:val="007023A6"/>
    <w:rsid w:val="007023B2"/>
    <w:rsid w:val="007023B7"/>
    <w:rsid w:val="00703CC5"/>
    <w:rsid w:val="007046E4"/>
    <w:rsid w:val="00705E1A"/>
    <w:rsid w:val="00706921"/>
    <w:rsid w:val="00707BE8"/>
    <w:rsid w:val="00711C28"/>
    <w:rsid w:val="00711E8D"/>
    <w:rsid w:val="00712B60"/>
    <w:rsid w:val="007145E2"/>
    <w:rsid w:val="00714F81"/>
    <w:rsid w:val="00714FA6"/>
    <w:rsid w:val="00715D97"/>
    <w:rsid w:val="00717A6D"/>
    <w:rsid w:val="007201C3"/>
    <w:rsid w:val="00720E27"/>
    <w:rsid w:val="00721C47"/>
    <w:rsid w:val="00721F15"/>
    <w:rsid w:val="00723513"/>
    <w:rsid w:val="0072369F"/>
    <w:rsid w:val="0073030A"/>
    <w:rsid w:val="00730A31"/>
    <w:rsid w:val="00730AF6"/>
    <w:rsid w:val="00731695"/>
    <w:rsid w:val="00732D1D"/>
    <w:rsid w:val="00733360"/>
    <w:rsid w:val="00733AF5"/>
    <w:rsid w:val="007351EB"/>
    <w:rsid w:val="00735D61"/>
    <w:rsid w:val="0073623F"/>
    <w:rsid w:val="00736AC1"/>
    <w:rsid w:val="00736CA0"/>
    <w:rsid w:val="00743C36"/>
    <w:rsid w:val="00744C04"/>
    <w:rsid w:val="0074570D"/>
    <w:rsid w:val="007465E3"/>
    <w:rsid w:val="00746F4E"/>
    <w:rsid w:val="0074723C"/>
    <w:rsid w:val="007477C0"/>
    <w:rsid w:val="007515B9"/>
    <w:rsid w:val="00753AA2"/>
    <w:rsid w:val="00755A41"/>
    <w:rsid w:val="00756605"/>
    <w:rsid w:val="00757899"/>
    <w:rsid w:val="007601D7"/>
    <w:rsid w:val="00760276"/>
    <w:rsid w:val="0076309C"/>
    <w:rsid w:val="00765E1B"/>
    <w:rsid w:val="007661B2"/>
    <w:rsid w:val="00766BEC"/>
    <w:rsid w:val="00766EA0"/>
    <w:rsid w:val="007757FF"/>
    <w:rsid w:val="00781597"/>
    <w:rsid w:val="00783740"/>
    <w:rsid w:val="00784DB4"/>
    <w:rsid w:val="00785698"/>
    <w:rsid w:val="00786865"/>
    <w:rsid w:val="00786E20"/>
    <w:rsid w:val="00786EDE"/>
    <w:rsid w:val="00790250"/>
    <w:rsid w:val="00790506"/>
    <w:rsid w:val="0079295B"/>
    <w:rsid w:val="00793343"/>
    <w:rsid w:val="00793CC6"/>
    <w:rsid w:val="007942ED"/>
    <w:rsid w:val="0079774F"/>
    <w:rsid w:val="007A124B"/>
    <w:rsid w:val="007A1D47"/>
    <w:rsid w:val="007A2E82"/>
    <w:rsid w:val="007A5F7E"/>
    <w:rsid w:val="007A7076"/>
    <w:rsid w:val="007A72B4"/>
    <w:rsid w:val="007B08B2"/>
    <w:rsid w:val="007B413E"/>
    <w:rsid w:val="007B568E"/>
    <w:rsid w:val="007B681A"/>
    <w:rsid w:val="007C1016"/>
    <w:rsid w:val="007C1360"/>
    <w:rsid w:val="007C1CAC"/>
    <w:rsid w:val="007C1EF6"/>
    <w:rsid w:val="007C3DF8"/>
    <w:rsid w:val="007C549D"/>
    <w:rsid w:val="007C5826"/>
    <w:rsid w:val="007D15CB"/>
    <w:rsid w:val="007D169C"/>
    <w:rsid w:val="007D1909"/>
    <w:rsid w:val="007D26B5"/>
    <w:rsid w:val="007D2923"/>
    <w:rsid w:val="007D348C"/>
    <w:rsid w:val="007D4788"/>
    <w:rsid w:val="007D4B81"/>
    <w:rsid w:val="007D4D4B"/>
    <w:rsid w:val="007D5AA3"/>
    <w:rsid w:val="007D657E"/>
    <w:rsid w:val="007D766B"/>
    <w:rsid w:val="007E2318"/>
    <w:rsid w:val="007E27F6"/>
    <w:rsid w:val="007E36F9"/>
    <w:rsid w:val="007E39D7"/>
    <w:rsid w:val="007E5F2E"/>
    <w:rsid w:val="007E6E89"/>
    <w:rsid w:val="007E7439"/>
    <w:rsid w:val="007F0E47"/>
    <w:rsid w:val="007F12C6"/>
    <w:rsid w:val="007F200F"/>
    <w:rsid w:val="007F35EE"/>
    <w:rsid w:val="007F3EAB"/>
    <w:rsid w:val="007F4DA4"/>
    <w:rsid w:val="007F4F2E"/>
    <w:rsid w:val="007F4FA0"/>
    <w:rsid w:val="007F501D"/>
    <w:rsid w:val="0080128B"/>
    <w:rsid w:val="00801BAF"/>
    <w:rsid w:val="00803601"/>
    <w:rsid w:val="00804D61"/>
    <w:rsid w:val="00805E2A"/>
    <w:rsid w:val="0080690F"/>
    <w:rsid w:val="00807F65"/>
    <w:rsid w:val="0081199E"/>
    <w:rsid w:val="0081205B"/>
    <w:rsid w:val="00812393"/>
    <w:rsid w:val="00814593"/>
    <w:rsid w:val="00814A16"/>
    <w:rsid w:val="00815447"/>
    <w:rsid w:val="0081612D"/>
    <w:rsid w:val="008162B4"/>
    <w:rsid w:val="00816759"/>
    <w:rsid w:val="00817D08"/>
    <w:rsid w:val="00817FC6"/>
    <w:rsid w:val="00821BAD"/>
    <w:rsid w:val="00822B20"/>
    <w:rsid w:val="00825DDC"/>
    <w:rsid w:val="00826D34"/>
    <w:rsid w:val="0082734D"/>
    <w:rsid w:val="00830312"/>
    <w:rsid w:val="0083156D"/>
    <w:rsid w:val="00832EAA"/>
    <w:rsid w:val="0083570D"/>
    <w:rsid w:val="00835EFE"/>
    <w:rsid w:val="0083769E"/>
    <w:rsid w:val="00840EA9"/>
    <w:rsid w:val="00841899"/>
    <w:rsid w:val="00841F9D"/>
    <w:rsid w:val="00842156"/>
    <w:rsid w:val="00842860"/>
    <w:rsid w:val="00844DF2"/>
    <w:rsid w:val="008451DE"/>
    <w:rsid w:val="00846315"/>
    <w:rsid w:val="00846434"/>
    <w:rsid w:val="00850D31"/>
    <w:rsid w:val="008511F3"/>
    <w:rsid w:val="00852556"/>
    <w:rsid w:val="00853EA4"/>
    <w:rsid w:val="00854125"/>
    <w:rsid w:val="008554A9"/>
    <w:rsid w:val="00856883"/>
    <w:rsid w:val="00857A7C"/>
    <w:rsid w:val="00863723"/>
    <w:rsid w:val="00864ABD"/>
    <w:rsid w:val="00871B70"/>
    <w:rsid w:val="00872A63"/>
    <w:rsid w:val="00873E6E"/>
    <w:rsid w:val="0087410F"/>
    <w:rsid w:val="008746EC"/>
    <w:rsid w:val="0087692A"/>
    <w:rsid w:val="00876BD4"/>
    <w:rsid w:val="00877258"/>
    <w:rsid w:val="00880E47"/>
    <w:rsid w:val="0088187E"/>
    <w:rsid w:val="00882B89"/>
    <w:rsid w:val="0088395E"/>
    <w:rsid w:val="00885F3A"/>
    <w:rsid w:val="00886B31"/>
    <w:rsid w:val="00890423"/>
    <w:rsid w:val="00891420"/>
    <w:rsid w:val="0089192C"/>
    <w:rsid w:val="00893BEB"/>
    <w:rsid w:val="00895276"/>
    <w:rsid w:val="008A067C"/>
    <w:rsid w:val="008A0925"/>
    <w:rsid w:val="008A1120"/>
    <w:rsid w:val="008A16C9"/>
    <w:rsid w:val="008A1852"/>
    <w:rsid w:val="008A1C59"/>
    <w:rsid w:val="008A274C"/>
    <w:rsid w:val="008A2775"/>
    <w:rsid w:val="008A3F1D"/>
    <w:rsid w:val="008A4396"/>
    <w:rsid w:val="008A461D"/>
    <w:rsid w:val="008B11F5"/>
    <w:rsid w:val="008B2557"/>
    <w:rsid w:val="008B27BC"/>
    <w:rsid w:val="008B65BC"/>
    <w:rsid w:val="008C3E1E"/>
    <w:rsid w:val="008C503F"/>
    <w:rsid w:val="008C6AE9"/>
    <w:rsid w:val="008C7E1E"/>
    <w:rsid w:val="008D2936"/>
    <w:rsid w:val="008D2CF6"/>
    <w:rsid w:val="008D5B8F"/>
    <w:rsid w:val="008E119A"/>
    <w:rsid w:val="008E1F52"/>
    <w:rsid w:val="008E245D"/>
    <w:rsid w:val="008E2D73"/>
    <w:rsid w:val="008E3170"/>
    <w:rsid w:val="008E4A17"/>
    <w:rsid w:val="008E4C6B"/>
    <w:rsid w:val="008E6C7A"/>
    <w:rsid w:val="008E6D18"/>
    <w:rsid w:val="008E774C"/>
    <w:rsid w:val="008F3DCB"/>
    <w:rsid w:val="008F5A39"/>
    <w:rsid w:val="008F5E9B"/>
    <w:rsid w:val="008F661F"/>
    <w:rsid w:val="00900170"/>
    <w:rsid w:val="009015C9"/>
    <w:rsid w:val="00902BEC"/>
    <w:rsid w:val="00902D5B"/>
    <w:rsid w:val="009035C4"/>
    <w:rsid w:val="00903ABE"/>
    <w:rsid w:val="00906BBD"/>
    <w:rsid w:val="00912EA8"/>
    <w:rsid w:val="00920B53"/>
    <w:rsid w:val="00921D90"/>
    <w:rsid w:val="00924B1C"/>
    <w:rsid w:val="0092529B"/>
    <w:rsid w:val="00926280"/>
    <w:rsid w:val="0092728A"/>
    <w:rsid w:val="00930B02"/>
    <w:rsid w:val="009330E9"/>
    <w:rsid w:val="009351D4"/>
    <w:rsid w:val="009362CD"/>
    <w:rsid w:val="00936381"/>
    <w:rsid w:val="009417D9"/>
    <w:rsid w:val="00941F2A"/>
    <w:rsid w:val="00943560"/>
    <w:rsid w:val="00944420"/>
    <w:rsid w:val="0094552B"/>
    <w:rsid w:val="0094580B"/>
    <w:rsid w:val="009465C5"/>
    <w:rsid w:val="00947794"/>
    <w:rsid w:val="00947831"/>
    <w:rsid w:val="009478DE"/>
    <w:rsid w:val="00950F24"/>
    <w:rsid w:val="009546F7"/>
    <w:rsid w:val="00954B77"/>
    <w:rsid w:val="00954D7E"/>
    <w:rsid w:val="0095531C"/>
    <w:rsid w:val="009570E5"/>
    <w:rsid w:val="00961284"/>
    <w:rsid w:val="009614DC"/>
    <w:rsid w:val="00961C56"/>
    <w:rsid w:val="00962E67"/>
    <w:rsid w:val="00963303"/>
    <w:rsid w:val="009639A0"/>
    <w:rsid w:val="00967B53"/>
    <w:rsid w:val="009708DB"/>
    <w:rsid w:val="00970F70"/>
    <w:rsid w:val="00972911"/>
    <w:rsid w:val="00972B87"/>
    <w:rsid w:val="00972D20"/>
    <w:rsid w:val="00972F7F"/>
    <w:rsid w:val="00973F38"/>
    <w:rsid w:val="009745BF"/>
    <w:rsid w:val="00977143"/>
    <w:rsid w:val="009811E7"/>
    <w:rsid w:val="009825A4"/>
    <w:rsid w:val="00984067"/>
    <w:rsid w:val="00985545"/>
    <w:rsid w:val="00985E25"/>
    <w:rsid w:val="00986FCE"/>
    <w:rsid w:val="009876B8"/>
    <w:rsid w:val="00987DB9"/>
    <w:rsid w:val="009919BE"/>
    <w:rsid w:val="009921B8"/>
    <w:rsid w:val="00992FDB"/>
    <w:rsid w:val="00995D04"/>
    <w:rsid w:val="00997BE4"/>
    <w:rsid w:val="009A009A"/>
    <w:rsid w:val="009A05CA"/>
    <w:rsid w:val="009A06A2"/>
    <w:rsid w:val="009A3C92"/>
    <w:rsid w:val="009A4D61"/>
    <w:rsid w:val="009A68A4"/>
    <w:rsid w:val="009B3435"/>
    <w:rsid w:val="009B5E51"/>
    <w:rsid w:val="009B765F"/>
    <w:rsid w:val="009B76F7"/>
    <w:rsid w:val="009B78ED"/>
    <w:rsid w:val="009B7FAB"/>
    <w:rsid w:val="009C044C"/>
    <w:rsid w:val="009C1FCE"/>
    <w:rsid w:val="009C299C"/>
    <w:rsid w:val="009C4E9F"/>
    <w:rsid w:val="009C53BA"/>
    <w:rsid w:val="009D0738"/>
    <w:rsid w:val="009D09F9"/>
    <w:rsid w:val="009D2292"/>
    <w:rsid w:val="009D2494"/>
    <w:rsid w:val="009D30B3"/>
    <w:rsid w:val="009D5364"/>
    <w:rsid w:val="009D59C8"/>
    <w:rsid w:val="009D5A3E"/>
    <w:rsid w:val="009D7370"/>
    <w:rsid w:val="009D740D"/>
    <w:rsid w:val="009D779C"/>
    <w:rsid w:val="009D7BD1"/>
    <w:rsid w:val="009E13FD"/>
    <w:rsid w:val="009E3246"/>
    <w:rsid w:val="009E34B4"/>
    <w:rsid w:val="009E383C"/>
    <w:rsid w:val="009E6481"/>
    <w:rsid w:val="009F101E"/>
    <w:rsid w:val="009F1464"/>
    <w:rsid w:val="009F1B08"/>
    <w:rsid w:val="009F33D8"/>
    <w:rsid w:val="009F3FCF"/>
    <w:rsid w:val="009F5C02"/>
    <w:rsid w:val="009F5F58"/>
    <w:rsid w:val="00A03184"/>
    <w:rsid w:val="00A031FA"/>
    <w:rsid w:val="00A03A49"/>
    <w:rsid w:val="00A063C1"/>
    <w:rsid w:val="00A072EF"/>
    <w:rsid w:val="00A109CC"/>
    <w:rsid w:val="00A12C59"/>
    <w:rsid w:val="00A12DD9"/>
    <w:rsid w:val="00A14B6F"/>
    <w:rsid w:val="00A15142"/>
    <w:rsid w:val="00A161D3"/>
    <w:rsid w:val="00A1797C"/>
    <w:rsid w:val="00A20B00"/>
    <w:rsid w:val="00A20E4C"/>
    <w:rsid w:val="00A220A9"/>
    <w:rsid w:val="00A22370"/>
    <w:rsid w:val="00A22DEE"/>
    <w:rsid w:val="00A2324B"/>
    <w:rsid w:val="00A2348B"/>
    <w:rsid w:val="00A254AA"/>
    <w:rsid w:val="00A26F34"/>
    <w:rsid w:val="00A341CD"/>
    <w:rsid w:val="00A35369"/>
    <w:rsid w:val="00A35379"/>
    <w:rsid w:val="00A35E75"/>
    <w:rsid w:val="00A36B7E"/>
    <w:rsid w:val="00A37A9C"/>
    <w:rsid w:val="00A37B94"/>
    <w:rsid w:val="00A400BC"/>
    <w:rsid w:val="00A40882"/>
    <w:rsid w:val="00A40D24"/>
    <w:rsid w:val="00A41CA3"/>
    <w:rsid w:val="00A44C11"/>
    <w:rsid w:val="00A47B0E"/>
    <w:rsid w:val="00A51171"/>
    <w:rsid w:val="00A5189F"/>
    <w:rsid w:val="00A52523"/>
    <w:rsid w:val="00A52AA6"/>
    <w:rsid w:val="00A52ADD"/>
    <w:rsid w:val="00A53A23"/>
    <w:rsid w:val="00A56859"/>
    <w:rsid w:val="00A56888"/>
    <w:rsid w:val="00A57D3F"/>
    <w:rsid w:val="00A604A2"/>
    <w:rsid w:val="00A61D91"/>
    <w:rsid w:val="00A650E0"/>
    <w:rsid w:val="00A656E3"/>
    <w:rsid w:val="00A66705"/>
    <w:rsid w:val="00A72268"/>
    <w:rsid w:val="00A72A27"/>
    <w:rsid w:val="00A76369"/>
    <w:rsid w:val="00A769F5"/>
    <w:rsid w:val="00A80B03"/>
    <w:rsid w:val="00A80DC0"/>
    <w:rsid w:val="00A8230A"/>
    <w:rsid w:val="00A835CD"/>
    <w:rsid w:val="00A84004"/>
    <w:rsid w:val="00A84B0B"/>
    <w:rsid w:val="00A85076"/>
    <w:rsid w:val="00A858F6"/>
    <w:rsid w:val="00A85F16"/>
    <w:rsid w:val="00A9218B"/>
    <w:rsid w:val="00A943FA"/>
    <w:rsid w:val="00AA26B4"/>
    <w:rsid w:val="00AA2AA1"/>
    <w:rsid w:val="00AA3B24"/>
    <w:rsid w:val="00AA41FF"/>
    <w:rsid w:val="00AA4314"/>
    <w:rsid w:val="00AA50D3"/>
    <w:rsid w:val="00AA5375"/>
    <w:rsid w:val="00AA5545"/>
    <w:rsid w:val="00AA5715"/>
    <w:rsid w:val="00AB0D9E"/>
    <w:rsid w:val="00AB4CA7"/>
    <w:rsid w:val="00AB507F"/>
    <w:rsid w:val="00AB64C1"/>
    <w:rsid w:val="00AB7846"/>
    <w:rsid w:val="00AB7DCA"/>
    <w:rsid w:val="00AB7E49"/>
    <w:rsid w:val="00AC05BC"/>
    <w:rsid w:val="00AC0B41"/>
    <w:rsid w:val="00AC0C1A"/>
    <w:rsid w:val="00AC16C5"/>
    <w:rsid w:val="00AC1EA3"/>
    <w:rsid w:val="00AC33D1"/>
    <w:rsid w:val="00AC3FA0"/>
    <w:rsid w:val="00AC46CC"/>
    <w:rsid w:val="00AD105D"/>
    <w:rsid w:val="00AD10E2"/>
    <w:rsid w:val="00AD24BD"/>
    <w:rsid w:val="00AD3051"/>
    <w:rsid w:val="00AD3444"/>
    <w:rsid w:val="00AD3487"/>
    <w:rsid w:val="00AD3BC9"/>
    <w:rsid w:val="00AD47ED"/>
    <w:rsid w:val="00AD5C05"/>
    <w:rsid w:val="00AD6241"/>
    <w:rsid w:val="00AE4FC2"/>
    <w:rsid w:val="00AE574B"/>
    <w:rsid w:val="00AE62E5"/>
    <w:rsid w:val="00AF0198"/>
    <w:rsid w:val="00AF0775"/>
    <w:rsid w:val="00AF1239"/>
    <w:rsid w:val="00AF1675"/>
    <w:rsid w:val="00AF16BE"/>
    <w:rsid w:val="00AF16C4"/>
    <w:rsid w:val="00AF17F8"/>
    <w:rsid w:val="00AF2D0E"/>
    <w:rsid w:val="00AF5BF2"/>
    <w:rsid w:val="00AF6EB3"/>
    <w:rsid w:val="00AF79FF"/>
    <w:rsid w:val="00B03DBB"/>
    <w:rsid w:val="00B0432A"/>
    <w:rsid w:val="00B04547"/>
    <w:rsid w:val="00B04A98"/>
    <w:rsid w:val="00B05968"/>
    <w:rsid w:val="00B05B27"/>
    <w:rsid w:val="00B07013"/>
    <w:rsid w:val="00B073AE"/>
    <w:rsid w:val="00B1062B"/>
    <w:rsid w:val="00B12420"/>
    <w:rsid w:val="00B12A02"/>
    <w:rsid w:val="00B130A7"/>
    <w:rsid w:val="00B13656"/>
    <w:rsid w:val="00B16FDA"/>
    <w:rsid w:val="00B201A0"/>
    <w:rsid w:val="00B238AD"/>
    <w:rsid w:val="00B23A77"/>
    <w:rsid w:val="00B249ED"/>
    <w:rsid w:val="00B25E95"/>
    <w:rsid w:val="00B27614"/>
    <w:rsid w:val="00B3005F"/>
    <w:rsid w:val="00B31B50"/>
    <w:rsid w:val="00B3447E"/>
    <w:rsid w:val="00B353A2"/>
    <w:rsid w:val="00B45411"/>
    <w:rsid w:val="00B4590E"/>
    <w:rsid w:val="00B51C35"/>
    <w:rsid w:val="00B52166"/>
    <w:rsid w:val="00B606B0"/>
    <w:rsid w:val="00B62BB1"/>
    <w:rsid w:val="00B65692"/>
    <w:rsid w:val="00B65EA3"/>
    <w:rsid w:val="00B66719"/>
    <w:rsid w:val="00B66884"/>
    <w:rsid w:val="00B7037F"/>
    <w:rsid w:val="00B711EE"/>
    <w:rsid w:val="00B746B5"/>
    <w:rsid w:val="00B76575"/>
    <w:rsid w:val="00B7693F"/>
    <w:rsid w:val="00B772AA"/>
    <w:rsid w:val="00B77936"/>
    <w:rsid w:val="00B77FF9"/>
    <w:rsid w:val="00B80082"/>
    <w:rsid w:val="00B80C7F"/>
    <w:rsid w:val="00B819CC"/>
    <w:rsid w:val="00B82C79"/>
    <w:rsid w:val="00B84047"/>
    <w:rsid w:val="00B86060"/>
    <w:rsid w:val="00B86C89"/>
    <w:rsid w:val="00B92627"/>
    <w:rsid w:val="00B92B60"/>
    <w:rsid w:val="00B95B06"/>
    <w:rsid w:val="00B95D67"/>
    <w:rsid w:val="00B96757"/>
    <w:rsid w:val="00B975E0"/>
    <w:rsid w:val="00B97B0B"/>
    <w:rsid w:val="00BA2367"/>
    <w:rsid w:val="00BA2888"/>
    <w:rsid w:val="00BA299F"/>
    <w:rsid w:val="00BA5074"/>
    <w:rsid w:val="00BA51B0"/>
    <w:rsid w:val="00BA67B5"/>
    <w:rsid w:val="00BA718A"/>
    <w:rsid w:val="00BA768B"/>
    <w:rsid w:val="00BA7B4F"/>
    <w:rsid w:val="00BB0181"/>
    <w:rsid w:val="00BB0B03"/>
    <w:rsid w:val="00BB2758"/>
    <w:rsid w:val="00BB3F3C"/>
    <w:rsid w:val="00BB4AF6"/>
    <w:rsid w:val="00BB630D"/>
    <w:rsid w:val="00BB67F0"/>
    <w:rsid w:val="00BC5398"/>
    <w:rsid w:val="00BC6B20"/>
    <w:rsid w:val="00BC7A45"/>
    <w:rsid w:val="00BD4244"/>
    <w:rsid w:val="00BD5DA5"/>
    <w:rsid w:val="00BD6901"/>
    <w:rsid w:val="00BD7173"/>
    <w:rsid w:val="00BE3855"/>
    <w:rsid w:val="00BE5DDE"/>
    <w:rsid w:val="00BE683A"/>
    <w:rsid w:val="00BE78C6"/>
    <w:rsid w:val="00BF1059"/>
    <w:rsid w:val="00BF29E7"/>
    <w:rsid w:val="00BF3480"/>
    <w:rsid w:val="00BF5E54"/>
    <w:rsid w:val="00BF62C7"/>
    <w:rsid w:val="00BF7049"/>
    <w:rsid w:val="00C00688"/>
    <w:rsid w:val="00C006C7"/>
    <w:rsid w:val="00C05E5B"/>
    <w:rsid w:val="00C06238"/>
    <w:rsid w:val="00C0671C"/>
    <w:rsid w:val="00C071A8"/>
    <w:rsid w:val="00C12185"/>
    <w:rsid w:val="00C124A2"/>
    <w:rsid w:val="00C12ACF"/>
    <w:rsid w:val="00C13FBE"/>
    <w:rsid w:val="00C15405"/>
    <w:rsid w:val="00C1700B"/>
    <w:rsid w:val="00C20FC9"/>
    <w:rsid w:val="00C228FD"/>
    <w:rsid w:val="00C23BEA"/>
    <w:rsid w:val="00C26A5C"/>
    <w:rsid w:val="00C30342"/>
    <w:rsid w:val="00C30D66"/>
    <w:rsid w:val="00C30F52"/>
    <w:rsid w:val="00C31C27"/>
    <w:rsid w:val="00C326CB"/>
    <w:rsid w:val="00C3399C"/>
    <w:rsid w:val="00C33D01"/>
    <w:rsid w:val="00C33F29"/>
    <w:rsid w:val="00C36A3A"/>
    <w:rsid w:val="00C37460"/>
    <w:rsid w:val="00C4193B"/>
    <w:rsid w:val="00C42D1E"/>
    <w:rsid w:val="00C4442C"/>
    <w:rsid w:val="00C454FB"/>
    <w:rsid w:val="00C4574B"/>
    <w:rsid w:val="00C46992"/>
    <w:rsid w:val="00C51722"/>
    <w:rsid w:val="00C541D0"/>
    <w:rsid w:val="00C55685"/>
    <w:rsid w:val="00C622CB"/>
    <w:rsid w:val="00C64BF9"/>
    <w:rsid w:val="00C66EC8"/>
    <w:rsid w:val="00C676A9"/>
    <w:rsid w:val="00C700BC"/>
    <w:rsid w:val="00C709BF"/>
    <w:rsid w:val="00C710E5"/>
    <w:rsid w:val="00C72A52"/>
    <w:rsid w:val="00C7359C"/>
    <w:rsid w:val="00C745D7"/>
    <w:rsid w:val="00C74FAA"/>
    <w:rsid w:val="00C75814"/>
    <w:rsid w:val="00C76AF2"/>
    <w:rsid w:val="00C77DAF"/>
    <w:rsid w:val="00C81C18"/>
    <w:rsid w:val="00C81C37"/>
    <w:rsid w:val="00C833A1"/>
    <w:rsid w:val="00C84661"/>
    <w:rsid w:val="00C86819"/>
    <w:rsid w:val="00C909A4"/>
    <w:rsid w:val="00C919B4"/>
    <w:rsid w:val="00C93184"/>
    <w:rsid w:val="00C946E5"/>
    <w:rsid w:val="00C94F95"/>
    <w:rsid w:val="00C97790"/>
    <w:rsid w:val="00CA06CC"/>
    <w:rsid w:val="00CA0862"/>
    <w:rsid w:val="00CA1033"/>
    <w:rsid w:val="00CA4DF7"/>
    <w:rsid w:val="00CA6650"/>
    <w:rsid w:val="00CA7F18"/>
    <w:rsid w:val="00CB11D6"/>
    <w:rsid w:val="00CB18BF"/>
    <w:rsid w:val="00CB42F4"/>
    <w:rsid w:val="00CB7811"/>
    <w:rsid w:val="00CB7E87"/>
    <w:rsid w:val="00CC042C"/>
    <w:rsid w:val="00CC0695"/>
    <w:rsid w:val="00CC1C25"/>
    <w:rsid w:val="00CC297E"/>
    <w:rsid w:val="00CC39B1"/>
    <w:rsid w:val="00CC44B3"/>
    <w:rsid w:val="00CC475D"/>
    <w:rsid w:val="00CC52D2"/>
    <w:rsid w:val="00CC708D"/>
    <w:rsid w:val="00CC7892"/>
    <w:rsid w:val="00CD210E"/>
    <w:rsid w:val="00CD2356"/>
    <w:rsid w:val="00CD2ADB"/>
    <w:rsid w:val="00CD34E8"/>
    <w:rsid w:val="00CD3728"/>
    <w:rsid w:val="00CD3C65"/>
    <w:rsid w:val="00CD3CF4"/>
    <w:rsid w:val="00CD3FA0"/>
    <w:rsid w:val="00CD436F"/>
    <w:rsid w:val="00CD6B31"/>
    <w:rsid w:val="00CD74A3"/>
    <w:rsid w:val="00CE1E2C"/>
    <w:rsid w:val="00CE3104"/>
    <w:rsid w:val="00CE5E69"/>
    <w:rsid w:val="00CE734D"/>
    <w:rsid w:val="00CF1472"/>
    <w:rsid w:val="00CF3944"/>
    <w:rsid w:val="00CF445C"/>
    <w:rsid w:val="00CF5556"/>
    <w:rsid w:val="00CF588F"/>
    <w:rsid w:val="00D03811"/>
    <w:rsid w:val="00D03878"/>
    <w:rsid w:val="00D041F6"/>
    <w:rsid w:val="00D04D86"/>
    <w:rsid w:val="00D07F32"/>
    <w:rsid w:val="00D10519"/>
    <w:rsid w:val="00D14B54"/>
    <w:rsid w:val="00D15145"/>
    <w:rsid w:val="00D173BF"/>
    <w:rsid w:val="00D20C0C"/>
    <w:rsid w:val="00D25D01"/>
    <w:rsid w:val="00D26712"/>
    <w:rsid w:val="00D2676B"/>
    <w:rsid w:val="00D267A9"/>
    <w:rsid w:val="00D272BF"/>
    <w:rsid w:val="00D323AF"/>
    <w:rsid w:val="00D333E1"/>
    <w:rsid w:val="00D3437F"/>
    <w:rsid w:val="00D34CCE"/>
    <w:rsid w:val="00D408F6"/>
    <w:rsid w:val="00D40FD3"/>
    <w:rsid w:val="00D41A3C"/>
    <w:rsid w:val="00D4207D"/>
    <w:rsid w:val="00D423DD"/>
    <w:rsid w:val="00D4368B"/>
    <w:rsid w:val="00D4369C"/>
    <w:rsid w:val="00D439B3"/>
    <w:rsid w:val="00D45054"/>
    <w:rsid w:val="00D45C2B"/>
    <w:rsid w:val="00D47E23"/>
    <w:rsid w:val="00D52F3F"/>
    <w:rsid w:val="00D5351F"/>
    <w:rsid w:val="00D55AF0"/>
    <w:rsid w:val="00D5639F"/>
    <w:rsid w:val="00D575E1"/>
    <w:rsid w:val="00D577E9"/>
    <w:rsid w:val="00D60D68"/>
    <w:rsid w:val="00D61805"/>
    <w:rsid w:val="00D63701"/>
    <w:rsid w:val="00D66854"/>
    <w:rsid w:val="00D70963"/>
    <w:rsid w:val="00D718B8"/>
    <w:rsid w:val="00D7395A"/>
    <w:rsid w:val="00D73B08"/>
    <w:rsid w:val="00D74DE0"/>
    <w:rsid w:val="00D76F0E"/>
    <w:rsid w:val="00D774BC"/>
    <w:rsid w:val="00D80015"/>
    <w:rsid w:val="00D81464"/>
    <w:rsid w:val="00D81579"/>
    <w:rsid w:val="00D826F1"/>
    <w:rsid w:val="00D82C48"/>
    <w:rsid w:val="00D834BC"/>
    <w:rsid w:val="00D84257"/>
    <w:rsid w:val="00D85E9D"/>
    <w:rsid w:val="00D85F61"/>
    <w:rsid w:val="00D86859"/>
    <w:rsid w:val="00D87F96"/>
    <w:rsid w:val="00D90EBE"/>
    <w:rsid w:val="00D912E2"/>
    <w:rsid w:val="00D951E5"/>
    <w:rsid w:val="00D957AF"/>
    <w:rsid w:val="00D95EDB"/>
    <w:rsid w:val="00DA0AD2"/>
    <w:rsid w:val="00DA2133"/>
    <w:rsid w:val="00DA24CD"/>
    <w:rsid w:val="00DA24FD"/>
    <w:rsid w:val="00DA391C"/>
    <w:rsid w:val="00DA4461"/>
    <w:rsid w:val="00DA4754"/>
    <w:rsid w:val="00DA487C"/>
    <w:rsid w:val="00DA553A"/>
    <w:rsid w:val="00DA5944"/>
    <w:rsid w:val="00DA66CE"/>
    <w:rsid w:val="00DA76D9"/>
    <w:rsid w:val="00DB3319"/>
    <w:rsid w:val="00DB4298"/>
    <w:rsid w:val="00DB4AB2"/>
    <w:rsid w:val="00DB563B"/>
    <w:rsid w:val="00DB6618"/>
    <w:rsid w:val="00DB736C"/>
    <w:rsid w:val="00DC0FDC"/>
    <w:rsid w:val="00DC1D9A"/>
    <w:rsid w:val="00DC227F"/>
    <w:rsid w:val="00DC4347"/>
    <w:rsid w:val="00DC5AA9"/>
    <w:rsid w:val="00DC5D84"/>
    <w:rsid w:val="00DD073C"/>
    <w:rsid w:val="00DD148B"/>
    <w:rsid w:val="00DD15A4"/>
    <w:rsid w:val="00DD2784"/>
    <w:rsid w:val="00DD309E"/>
    <w:rsid w:val="00DD3C42"/>
    <w:rsid w:val="00DD41FC"/>
    <w:rsid w:val="00DD476F"/>
    <w:rsid w:val="00DD4C13"/>
    <w:rsid w:val="00DD53BA"/>
    <w:rsid w:val="00DD5E26"/>
    <w:rsid w:val="00DD6494"/>
    <w:rsid w:val="00DD77DA"/>
    <w:rsid w:val="00DD7D51"/>
    <w:rsid w:val="00DE10D0"/>
    <w:rsid w:val="00DE273F"/>
    <w:rsid w:val="00DE3088"/>
    <w:rsid w:val="00DE4AD3"/>
    <w:rsid w:val="00DE598C"/>
    <w:rsid w:val="00DE5C64"/>
    <w:rsid w:val="00DE6A45"/>
    <w:rsid w:val="00DE76EC"/>
    <w:rsid w:val="00DF04D9"/>
    <w:rsid w:val="00DF359D"/>
    <w:rsid w:val="00DF527D"/>
    <w:rsid w:val="00DF6904"/>
    <w:rsid w:val="00DF6BD9"/>
    <w:rsid w:val="00E007F8"/>
    <w:rsid w:val="00E018AD"/>
    <w:rsid w:val="00E01DBA"/>
    <w:rsid w:val="00E02969"/>
    <w:rsid w:val="00E02D39"/>
    <w:rsid w:val="00E030BD"/>
    <w:rsid w:val="00E0357C"/>
    <w:rsid w:val="00E03887"/>
    <w:rsid w:val="00E0466D"/>
    <w:rsid w:val="00E050BE"/>
    <w:rsid w:val="00E05475"/>
    <w:rsid w:val="00E05C06"/>
    <w:rsid w:val="00E05EBF"/>
    <w:rsid w:val="00E05F0A"/>
    <w:rsid w:val="00E070B2"/>
    <w:rsid w:val="00E07C5B"/>
    <w:rsid w:val="00E1548B"/>
    <w:rsid w:val="00E16D99"/>
    <w:rsid w:val="00E16F27"/>
    <w:rsid w:val="00E20D08"/>
    <w:rsid w:val="00E21946"/>
    <w:rsid w:val="00E22213"/>
    <w:rsid w:val="00E22547"/>
    <w:rsid w:val="00E23829"/>
    <w:rsid w:val="00E26FF0"/>
    <w:rsid w:val="00E27E6A"/>
    <w:rsid w:val="00E30C7B"/>
    <w:rsid w:val="00E33365"/>
    <w:rsid w:val="00E3381D"/>
    <w:rsid w:val="00E34338"/>
    <w:rsid w:val="00E37291"/>
    <w:rsid w:val="00E375C3"/>
    <w:rsid w:val="00E413E2"/>
    <w:rsid w:val="00E41633"/>
    <w:rsid w:val="00E45FB2"/>
    <w:rsid w:val="00E5094F"/>
    <w:rsid w:val="00E523A0"/>
    <w:rsid w:val="00E54966"/>
    <w:rsid w:val="00E55A49"/>
    <w:rsid w:val="00E565CF"/>
    <w:rsid w:val="00E56B31"/>
    <w:rsid w:val="00E61487"/>
    <w:rsid w:val="00E63334"/>
    <w:rsid w:val="00E63ADB"/>
    <w:rsid w:val="00E6438D"/>
    <w:rsid w:val="00E643E0"/>
    <w:rsid w:val="00E65A09"/>
    <w:rsid w:val="00E70A0B"/>
    <w:rsid w:val="00E73C12"/>
    <w:rsid w:val="00E7427F"/>
    <w:rsid w:val="00E7506F"/>
    <w:rsid w:val="00E76494"/>
    <w:rsid w:val="00E76A08"/>
    <w:rsid w:val="00E76EBE"/>
    <w:rsid w:val="00E77883"/>
    <w:rsid w:val="00E80CC9"/>
    <w:rsid w:val="00E8111B"/>
    <w:rsid w:val="00E9127C"/>
    <w:rsid w:val="00E91C4B"/>
    <w:rsid w:val="00E91D26"/>
    <w:rsid w:val="00E91E3E"/>
    <w:rsid w:val="00E9368E"/>
    <w:rsid w:val="00EA1C87"/>
    <w:rsid w:val="00EA1DBD"/>
    <w:rsid w:val="00EA3E32"/>
    <w:rsid w:val="00EA444F"/>
    <w:rsid w:val="00EA4690"/>
    <w:rsid w:val="00EA69F3"/>
    <w:rsid w:val="00EA7C83"/>
    <w:rsid w:val="00EB0BDA"/>
    <w:rsid w:val="00EB31A0"/>
    <w:rsid w:val="00EB40A5"/>
    <w:rsid w:val="00EB419E"/>
    <w:rsid w:val="00EB4982"/>
    <w:rsid w:val="00EB4FB3"/>
    <w:rsid w:val="00EB5AC0"/>
    <w:rsid w:val="00EB739F"/>
    <w:rsid w:val="00EB75A2"/>
    <w:rsid w:val="00EB7B18"/>
    <w:rsid w:val="00EC07D1"/>
    <w:rsid w:val="00EC14EB"/>
    <w:rsid w:val="00EC5051"/>
    <w:rsid w:val="00EC6ABF"/>
    <w:rsid w:val="00EC6E82"/>
    <w:rsid w:val="00EC7F48"/>
    <w:rsid w:val="00ED0A40"/>
    <w:rsid w:val="00ED0A95"/>
    <w:rsid w:val="00ED17D9"/>
    <w:rsid w:val="00ED1D43"/>
    <w:rsid w:val="00ED25A9"/>
    <w:rsid w:val="00ED4A6E"/>
    <w:rsid w:val="00ED52FC"/>
    <w:rsid w:val="00ED690B"/>
    <w:rsid w:val="00ED7E94"/>
    <w:rsid w:val="00EE0A56"/>
    <w:rsid w:val="00EE1DD8"/>
    <w:rsid w:val="00EE29AC"/>
    <w:rsid w:val="00EE3EE4"/>
    <w:rsid w:val="00EE48EB"/>
    <w:rsid w:val="00EE4D9C"/>
    <w:rsid w:val="00EE4F2E"/>
    <w:rsid w:val="00EE72F2"/>
    <w:rsid w:val="00EF037B"/>
    <w:rsid w:val="00EF0D0A"/>
    <w:rsid w:val="00EF3042"/>
    <w:rsid w:val="00EF30E2"/>
    <w:rsid w:val="00EF335E"/>
    <w:rsid w:val="00EF491B"/>
    <w:rsid w:val="00EF51D5"/>
    <w:rsid w:val="00EF5480"/>
    <w:rsid w:val="00EF5991"/>
    <w:rsid w:val="00EF5A73"/>
    <w:rsid w:val="00EF5E85"/>
    <w:rsid w:val="00EF7387"/>
    <w:rsid w:val="00EF75E0"/>
    <w:rsid w:val="00F0054A"/>
    <w:rsid w:val="00F010E1"/>
    <w:rsid w:val="00F02EE7"/>
    <w:rsid w:val="00F04E23"/>
    <w:rsid w:val="00F05E84"/>
    <w:rsid w:val="00F1390F"/>
    <w:rsid w:val="00F15754"/>
    <w:rsid w:val="00F17ACB"/>
    <w:rsid w:val="00F20633"/>
    <w:rsid w:val="00F20A5C"/>
    <w:rsid w:val="00F2261E"/>
    <w:rsid w:val="00F26335"/>
    <w:rsid w:val="00F26C40"/>
    <w:rsid w:val="00F27C24"/>
    <w:rsid w:val="00F31D66"/>
    <w:rsid w:val="00F326FF"/>
    <w:rsid w:val="00F329FC"/>
    <w:rsid w:val="00F33A00"/>
    <w:rsid w:val="00F33C2A"/>
    <w:rsid w:val="00F33FB8"/>
    <w:rsid w:val="00F33FFA"/>
    <w:rsid w:val="00F35413"/>
    <w:rsid w:val="00F35E6B"/>
    <w:rsid w:val="00F363D3"/>
    <w:rsid w:val="00F363E1"/>
    <w:rsid w:val="00F3799B"/>
    <w:rsid w:val="00F41852"/>
    <w:rsid w:val="00F42012"/>
    <w:rsid w:val="00F422A9"/>
    <w:rsid w:val="00F42B7F"/>
    <w:rsid w:val="00F4349D"/>
    <w:rsid w:val="00F440D5"/>
    <w:rsid w:val="00F459B8"/>
    <w:rsid w:val="00F4681E"/>
    <w:rsid w:val="00F4773F"/>
    <w:rsid w:val="00F50F63"/>
    <w:rsid w:val="00F51125"/>
    <w:rsid w:val="00F53AA0"/>
    <w:rsid w:val="00F56179"/>
    <w:rsid w:val="00F60495"/>
    <w:rsid w:val="00F60D61"/>
    <w:rsid w:val="00F613F5"/>
    <w:rsid w:val="00F6256F"/>
    <w:rsid w:val="00F64A8D"/>
    <w:rsid w:val="00F652BB"/>
    <w:rsid w:val="00F732D7"/>
    <w:rsid w:val="00F76AEE"/>
    <w:rsid w:val="00F76BBA"/>
    <w:rsid w:val="00F80B96"/>
    <w:rsid w:val="00F829A1"/>
    <w:rsid w:val="00F8355B"/>
    <w:rsid w:val="00F8365D"/>
    <w:rsid w:val="00F8462E"/>
    <w:rsid w:val="00F86580"/>
    <w:rsid w:val="00F86A99"/>
    <w:rsid w:val="00F909B7"/>
    <w:rsid w:val="00F90EFD"/>
    <w:rsid w:val="00F91C25"/>
    <w:rsid w:val="00F933B0"/>
    <w:rsid w:val="00F94E1F"/>
    <w:rsid w:val="00FA0FC4"/>
    <w:rsid w:val="00FA11CC"/>
    <w:rsid w:val="00FA1C94"/>
    <w:rsid w:val="00FA32F9"/>
    <w:rsid w:val="00FA3CB9"/>
    <w:rsid w:val="00FA4D27"/>
    <w:rsid w:val="00FA7FBE"/>
    <w:rsid w:val="00FB2D99"/>
    <w:rsid w:val="00FB4DBA"/>
    <w:rsid w:val="00FB5E6A"/>
    <w:rsid w:val="00FB71BF"/>
    <w:rsid w:val="00FB77E3"/>
    <w:rsid w:val="00FC0B8A"/>
    <w:rsid w:val="00FC1AA5"/>
    <w:rsid w:val="00FC52C6"/>
    <w:rsid w:val="00FC686B"/>
    <w:rsid w:val="00FC778A"/>
    <w:rsid w:val="00FC7A08"/>
    <w:rsid w:val="00FD10BE"/>
    <w:rsid w:val="00FD241A"/>
    <w:rsid w:val="00FD2B58"/>
    <w:rsid w:val="00FD37F7"/>
    <w:rsid w:val="00FD4238"/>
    <w:rsid w:val="00FD457C"/>
    <w:rsid w:val="00FD4801"/>
    <w:rsid w:val="00FD63CC"/>
    <w:rsid w:val="00FD7143"/>
    <w:rsid w:val="00FE0480"/>
    <w:rsid w:val="00FE092E"/>
    <w:rsid w:val="00FE1530"/>
    <w:rsid w:val="00FE253C"/>
    <w:rsid w:val="00FE2629"/>
    <w:rsid w:val="00FE3D16"/>
    <w:rsid w:val="00FE475A"/>
    <w:rsid w:val="00FE7E45"/>
    <w:rsid w:val="00FF179E"/>
    <w:rsid w:val="00FF1D9E"/>
    <w:rsid w:val="00FF3549"/>
    <w:rsid w:val="00FF45F9"/>
    <w:rsid w:val="00FF5482"/>
    <w:rsid w:val="00FF5502"/>
    <w:rsid w:val="00FF6ABA"/>
    <w:rsid w:val="00FF7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4DBCF"/>
  <w15:chartTrackingRefBased/>
  <w15:docId w15:val="{33A73EF1-5AA5-4646-9230-477153DAE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4AB2"/>
    <w:rPr>
      <w:rFonts w:ascii="Times New Roman" w:eastAsia="Times New Roman" w:hAnsi="Times New Roman"/>
      <w:sz w:val="26"/>
      <w:szCs w:val="26"/>
    </w:rPr>
  </w:style>
  <w:style w:type="paragraph" w:styleId="Heading1">
    <w:name w:val="heading 1"/>
    <w:basedOn w:val="Normal"/>
    <w:next w:val="Normal"/>
    <w:link w:val="Heading1Char"/>
    <w:uiPriority w:val="9"/>
    <w:qFormat/>
    <w:rsid w:val="007F4F2E"/>
    <w:pPr>
      <w:keepNext/>
      <w:spacing w:before="240" w:after="60"/>
      <w:outlineLvl w:val="0"/>
    </w:pPr>
    <w:rPr>
      <w:rFonts w:ascii="Calibri Light" w:eastAsia="Yu Gothic Light" w:hAnsi="Calibri Light"/>
      <w:b/>
      <w:bCs/>
      <w:kern w:val="32"/>
      <w:sz w:val="32"/>
      <w:szCs w:val="32"/>
    </w:rPr>
  </w:style>
  <w:style w:type="paragraph" w:styleId="Heading5">
    <w:name w:val="heading 5"/>
    <w:basedOn w:val="Normal"/>
    <w:next w:val="Normal"/>
    <w:link w:val="Heading5Char"/>
    <w:qFormat/>
    <w:rsid w:val="00985545"/>
    <w:pPr>
      <w:keepNext/>
      <w:autoSpaceDE w:val="0"/>
      <w:autoSpaceDN w:val="0"/>
      <w:spacing w:after="120" w:line="300" w:lineRule="exact"/>
      <w:ind w:firstLine="567"/>
      <w:jc w:val="both"/>
      <w:outlineLvl w:val="4"/>
    </w:pPr>
    <w:rPr>
      <w:i/>
      <w:w w:val="90"/>
      <w:sz w:val="28"/>
      <w:szCs w:val="28"/>
      <w:lang w:val="x-none" w:eastAsia="x-none"/>
    </w:rPr>
  </w:style>
  <w:style w:type="paragraph" w:styleId="Heading8">
    <w:name w:val="heading 8"/>
    <w:basedOn w:val="Normal"/>
    <w:next w:val="Normal"/>
    <w:link w:val="Heading8Char"/>
    <w:uiPriority w:val="9"/>
    <w:unhideWhenUsed/>
    <w:qFormat/>
    <w:rsid w:val="007F4F2E"/>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ident"/>
    <w:basedOn w:val="Normal"/>
    <w:link w:val="BodyTextIndentChar1"/>
    <w:rsid w:val="00DB4AB2"/>
    <w:pPr>
      <w:spacing w:before="120" w:line="360" w:lineRule="auto"/>
      <w:ind w:firstLine="720"/>
      <w:jc w:val="both"/>
    </w:pPr>
    <w:rPr>
      <w:szCs w:val="28"/>
    </w:rPr>
  </w:style>
  <w:style w:type="character" w:customStyle="1" w:styleId="BodyTextIndentChar">
    <w:name w:val="Body Text Indent Char"/>
    <w:uiPriority w:val="99"/>
    <w:semiHidden/>
    <w:rsid w:val="00DB4AB2"/>
    <w:rPr>
      <w:rFonts w:ascii="Times New Roman" w:eastAsia="Times New Roman" w:hAnsi="Times New Roman" w:cs="Times New Roman"/>
      <w:sz w:val="26"/>
      <w:szCs w:val="26"/>
    </w:rPr>
  </w:style>
  <w:style w:type="character" w:customStyle="1" w:styleId="BodyTextIndentChar1">
    <w:name w:val="Body Text Indent Char1"/>
    <w:aliases w:val="ident Char"/>
    <w:link w:val="BodyTextIndent"/>
    <w:rsid w:val="00DB4AB2"/>
    <w:rPr>
      <w:rFonts w:ascii="Times New Roman" w:eastAsia="Times New Roman" w:hAnsi="Times New Roman" w:cs="Times New Roman"/>
      <w:sz w:val="26"/>
      <w:szCs w:val="28"/>
    </w:rPr>
  </w:style>
  <w:style w:type="paragraph" w:styleId="ListParagraph">
    <w:name w:val="List Paragraph"/>
    <w:aliases w:val="Thang2,Bullet 1,bullet 2,bullet,Level 2,lp1,List Paragraph1,lp11,List Paragraph11,bang,AR Bul Normal,Bao Linh 2,List Paragraph 1,List Paragraph2,List Paragraph21,bullet 1,HHHH,thu,Number Bullets,06. Ý,1.1.1.1,Bullet,Bullet L1"/>
    <w:basedOn w:val="Normal"/>
    <w:link w:val="ListParagraphChar"/>
    <w:uiPriority w:val="34"/>
    <w:qFormat/>
    <w:rsid w:val="00DB4AB2"/>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Thang2 Char,Bullet 1 Char,bullet 2 Char,bullet Char,Level 2 Char,lp1 Char,List Paragraph1 Char,lp11 Char,List Paragraph11 Char,bang Char,AR Bul Normal Char,Bao Linh 2 Char,List Paragraph 1 Char,List Paragraph2 Char,bullet 1 Char"/>
    <w:link w:val="ListParagraph"/>
    <w:uiPriority w:val="34"/>
    <w:qFormat/>
    <w:rsid w:val="00DB4AB2"/>
    <w:rPr>
      <w:rFonts w:ascii="Calibri" w:eastAsia="Calibri" w:hAnsi="Calibri" w:cs="Times New Roman"/>
    </w:rPr>
  </w:style>
  <w:style w:type="table" w:styleId="TableGrid">
    <w:name w:val="Table Grid"/>
    <w:basedOn w:val="TableNormal"/>
    <w:uiPriority w:val="39"/>
    <w:rsid w:val="00DB4AB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0E765D"/>
    <w:pPr>
      <w:widowControl w:val="0"/>
      <w:autoSpaceDE w:val="0"/>
      <w:autoSpaceDN w:val="0"/>
      <w:adjustRightInd w:val="0"/>
    </w:pPr>
    <w:rPr>
      <w:rFonts w:ascii="Times New Roman" w:eastAsia="Times New Roman" w:hAnsi="Times New Roman"/>
      <w:color w:val="000000"/>
      <w:sz w:val="24"/>
      <w:szCs w:val="24"/>
    </w:rPr>
  </w:style>
  <w:style w:type="paragraph" w:styleId="BodyText">
    <w:name w:val="Body Text"/>
    <w:basedOn w:val="Normal"/>
    <w:link w:val="BodyTextChar"/>
    <w:uiPriority w:val="99"/>
    <w:unhideWhenUsed/>
    <w:rsid w:val="003876AC"/>
    <w:pPr>
      <w:spacing w:after="120"/>
    </w:pPr>
  </w:style>
  <w:style w:type="character" w:customStyle="1" w:styleId="BodyTextChar">
    <w:name w:val="Body Text Char"/>
    <w:link w:val="BodyText"/>
    <w:uiPriority w:val="99"/>
    <w:rsid w:val="003876AC"/>
    <w:rPr>
      <w:rFonts w:ascii="Times New Roman" w:eastAsia="Times New Roman" w:hAnsi="Times New Roman"/>
      <w:sz w:val="26"/>
      <w:szCs w:val="26"/>
      <w:lang w:val="en-US" w:eastAsia="en-US"/>
    </w:rPr>
  </w:style>
  <w:style w:type="paragraph" w:customStyle="1" w:styleId="noidung">
    <w:name w:val="noi dung"/>
    <w:basedOn w:val="Normal"/>
    <w:link w:val="noidungChar"/>
    <w:qFormat/>
    <w:rsid w:val="00B238AD"/>
    <w:pPr>
      <w:widowControl w:val="0"/>
      <w:tabs>
        <w:tab w:val="left" w:pos="4111"/>
      </w:tabs>
      <w:spacing w:before="60" w:after="60" w:line="320" w:lineRule="exact"/>
      <w:ind w:firstLine="425"/>
      <w:jc w:val="both"/>
    </w:pPr>
    <w:rPr>
      <w:rFonts w:ascii=".VnCentury Schoolbook" w:eastAsia="MS Mincho" w:hAnsi=".VnCentury Schoolbook"/>
      <w:sz w:val="24"/>
      <w:szCs w:val="20"/>
    </w:rPr>
  </w:style>
  <w:style w:type="character" w:customStyle="1" w:styleId="noidungChar">
    <w:name w:val="noi dung Char"/>
    <w:link w:val="noidung"/>
    <w:locked/>
    <w:rsid w:val="00B238AD"/>
    <w:rPr>
      <w:rFonts w:ascii=".VnCentury Schoolbook" w:eastAsia="MS Mincho" w:hAnsi=".VnCentury Schoolbook"/>
      <w:sz w:val="24"/>
      <w:lang w:val="en-US" w:eastAsia="en-US"/>
    </w:rPr>
  </w:style>
  <w:style w:type="character" w:styleId="FootnoteReference">
    <w:name w:val="footnote reference"/>
    <w:aliases w:val="Footnote,Footnote text,ftref,BearingPoint,16 Point,Superscript 6 Point,fr,Footnote Text1,f,Ref,de nota al pie,Footnote + Arial,10 pt,Black,Footnote Text11,BVI fnr,f1,Footnote Text111,Footnote chi so,f11,f111,footnote ref,10,4,4_"/>
    <w:link w:val="CharChar1CharCharCharChar1CharCharCharCharCharCharCharChar"/>
    <w:uiPriority w:val="99"/>
    <w:qFormat/>
    <w:rsid w:val="00AC46CC"/>
    <w:rPr>
      <w:vertAlign w:val="superscript"/>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
    <w:basedOn w:val="Normal"/>
    <w:link w:val="FootnoteTextChar"/>
    <w:uiPriority w:val="99"/>
    <w:qFormat/>
    <w:rsid w:val="00AC46CC"/>
    <w:rPr>
      <w:rFonts w:ascii="Arial" w:hAnsi="Arial"/>
      <w:sz w:val="20"/>
      <w:szCs w:val="20"/>
      <w:lang w:val="x-none"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link w:val="FootnoteText"/>
    <w:uiPriority w:val="99"/>
    <w:qFormat/>
    <w:rsid w:val="00AC46CC"/>
    <w:rPr>
      <w:rFonts w:ascii="Arial" w:eastAsia="Times New Roman" w:hAnsi="Arial"/>
      <w:lang w:val="x-none" w:eastAsia="x-none"/>
    </w:rPr>
  </w:style>
  <w:style w:type="character" w:customStyle="1" w:styleId="radajaxpanel">
    <w:name w:val="radajaxpanel"/>
    <w:rsid w:val="00A161D3"/>
  </w:style>
  <w:style w:type="character" w:customStyle="1" w:styleId="Heading5Char">
    <w:name w:val="Heading 5 Char"/>
    <w:link w:val="Heading5"/>
    <w:rsid w:val="00985545"/>
    <w:rPr>
      <w:rFonts w:ascii="Times New Roman" w:eastAsia="Times New Roman" w:hAnsi="Times New Roman"/>
      <w:i/>
      <w:w w:val="90"/>
      <w:sz w:val="28"/>
      <w:szCs w:val="28"/>
      <w:lang w:val="x-none" w:eastAsia="x-none"/>
    </w:rPr>
  </w:style>
  <w:style w:type="character" w:styleId="CommentReference">
    <w:name w:val="annotation reference"/>
    <w:uiPriority w:val="99"/>
    <w:semiHidden/>
    <w:unhideWhenUsed/>
    <w:rsid w:val="009D5364"/>
    <w:rPr>
      <w:sz w:val="16"/>
      <w:szCs w:val="16"/>
    </w:rPr>
  </w:style>
  <w:style w:type="paragraph" w:styleId="CommentText">
    <w:name w:val="annotation text"/>
    <w:basedOn w:val="Normal"/>
    <w:link w:val="CommentTextChar"/>
    <w:uiPriority w:val="99"/>
    <w:unhideWhenUsed/>
    <w:qFormat/>
    <w:rsid w:val="009D5364"/>
    <w:rPr>
      <w:sz w:val="20"/>
      <w:szCs w:val="20"/>
    </w:rPr>
  </w:style>
  <w:style w:type="character" w:customStyle="1" w:styleId="CommentTextChar">
    <w:name w:val="Comment Text Char"/>
    <w:link w:val="CommentText"/>
    <w:uiPriority w:val="99"/>
    <w:rsid w:val="009D536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D5364"/>
    <w:rPr>
      <w:b/>
      <w:bCs/>
    </w:rPr>
  </w:style>
  <w:style w:type="character" w:customStyle="1" w:styleId="CommentSubjectChar">
    <w:name w:val="Comment Subject Char"/>
    <w:link w:val="CommentSubject"/>
    <w:uiPriority w:val="99"/>
    <w:semiHidden/>
    <w:rsid w:val="009D5364"/>
    <w:rPr>
      <w:rFonts w:ascii="Times New Roman" w:eastAsia="Times New Roman" w:hAnsi="Times New Roman"/>
      <w:b/>
      <w:bCs/>
    </w:rPr>
  </w:style>
  <w:style w:type="paragraph" w:styleId="BalloonText">
    <w:name w:val="Balloon Text"/>
    <w:basedOn w:val="Normal"/>
    <w:link w:val="BalloonTextChar"/>
    <w:uiPriority w:val="99"/>
    <w:semiHidden/>
    <w:unhideWhenUsed/>
    <w:rsid w:val="009D5364"/>
    <w:rPr>
      <w:rFonts w:ascii="Segoe UI" w:hAnsi="Segoe UI" w:cs="Segoe UI"/>
      <w:sz w:val="18"/>
      <w:szCs w:val="18"/>
    </w:rPr>
  </w:style>
  <w:style w:type="character" w:customStyle="1" w:styleId="BalloonTextChar">
    <w:name w:val="Balloon Text Char"/>
    <w:link w:val="BalloonText"/>
    <w:uiPriority w:val="99"/>
    <w:semiHidden/>
    <w:rsid w:val="009D5364"/>
    <w:rPr>
      <w:rFonts w:ascii="Segoe UI" w:eastAsia="Times New Roman" w:hAnsi="Segoe UI" w:cs="Segoe UI"/>
      <w:sz w:val="18"/>
      <w:szCs w:val="18"/>
    </w:rPr>
  </w:style>
  <w:style w:type="paragraph" w:styleId="Header">
    <w:name w:val="header"/>
    <w:basedOn w:val="Normal"/>
    <w:link w:val="HeaderChar"/>
    <w:uiPriority w:val="99"/>
    <w:unhideWhenUsed/>
    <w:rsid w:val="00BF62C7"/>
    <w:pPr>
      <w:tabs>
        <w:tab w:val="center" w:pos="4680"/>
        <w:tab w:val="right" w:pos="9360"/>
      </w:tabs>
    </w:pPr>
  </w:style>
  <w:style w:type="character" w:customStyle="1" w:styleId="HeaderChar">
    <w:name w:val="Header Char"/>
    <w:link w:val="Header"/>
    <w:uiPriority w:val="99"/>
    <w:rsid w:val="00BF62C7"/>
    <w:rPr>
      <w:rFonts w:ascii="Times New Roman" w:eastAsia="Times New Roman" w:hAnsi="Times New Roman"/>
      <w:sz w:val="26"/>
      <w:szCs w:val="26"/>
    </w:rPr>
  </w:style>
  <w:style w:type="paragraph" w:styleId="Footer">
    <w:name w:val="footer"/>
    <w:basedOn w:val="Normal"/>
    <w:link w:val="FooterChar"/>
    <w:uiPriority w:val="99"/>
    <w:unhideWhenUsed/>
    <w:rsid w:val="00BF62C7"/>
    <w:pPr>
      <w:tabs>
        <w:tab w:val="center" w:pos="4680"/>
        <w:tab w:val="right" w:pos="9360"/>
      </w:tabs>
    </w:pPr>
  </w:style>
  <w:style w:type="character" w:customStyle="1" w:styleId="FooterChar">
    <w:name w:val="Footer Char"/>
    <w:link w:val="Footer"/>
    <w:uiPriority w:val="99"/>
    <w:rsid w:val="00BF62C7"/>
    <w:rPr>
      <w:rFonts w:ascii="Times New Roman" w:eastAsia="Times New Roman" w:hAnsi="Times New Roman"/>
      <w:sz w:val="26"/>
      <w:szCs w:val="26"/>
    </w:rPr>
  </w:style>
  <w:style w:type="paragraph" w:styleId="Caption">
    <w:name w:val="caption"/>
    <w:basedOn w:val="Normal"/>
    <w:next w:val="Normal"/>
    <w:qFormat/>
    <w:rsid w:val="00FB71BF"/>
    <w:pPr>
      <w:autoSpaceDE w:val="0"/>
      <w:autoSpaceDN w:val="0"/>
      <w:jc w:val="center"/>
    </w:pPr>
    <w:rPr>
      <w:rFonts w:ascii=".VnTime" w:hAnsi=".VnTime"/>
      <w:b/>
      <w:bCs/>
      <w:color w:val="000000"/>
      <w:sz w:val="28"/>
      <w:szCs w:val="28"/>
    </w:rPr>
  </w:style>
  <w:style w:type="paragraph" w:customStyle="1" w:styleId="Lama">
    <w:name w:val="La ma"/>
    <w:basedOn w:val="Normal"/>
    <w:rsid w:val="001B4299"/>
    <w:pPr>
      <w:autoSpaceDE w:val="0"/>
      <w:autoSpaceDN w:val="0"/>
      <w:adjustRightInd w:val="0"/>
      <w:spacing w:before="180" w:after="40" w:line="320" w:lineRule="exact"/>
      <w:ind w:firstLine="567"/>
      <w:jc w:val="both"/>
    </w:pPr>
    <w:rPr>
      <w:rFonts w:ascii=".VnCentury SchoolbookH" w:hAnsi=".VnCentury SchoolbookH"/>
      <w:bCs/>
      <w:color w:val="000000"/>
      <w:w w:val="90"/>
      <w:sz w:val="24"/>
      <w:szCs w:val="20"/>
    </w:rPr>
  </w:style>
  <w:style w:type="paragraph" w:styleId="NormalWeb">
    <w:name w:val="Normal (Web)"/>
    <w:aliases w:val="Char Char Char, Char Char1,Char Char1, Char Char Char,Char Char5,Char Char,Char Char Char Char Char Char Char Char Char Char,Char Char Char Char Char Char Char Char Char Char Char,Обычный (веб)1,Обычный (веб) Знак,Обычный (веб) Знак1"/>
    <w:basedOn w:val="Normal"/>
    <w:link w:val="NormalWebChar"/>
    <w:uiPriority w:val="99"/>
    <w:unhideWhenUsed/>
    <w:qFormat/>
    <w:rsid w:val="004F488B"/>
    <w:pPr>
      <w:spacing w:before="100" w:beforeAutospacing="1" w:after="100" w:afterAutospacing="1"/>
    </w:pPr>
    <w:rPr>
      <w:sz w:val="24"/>
      <w:szCs w:val="24"/>
    </w:rPr>
  </w:style>
  <w:style w:type="character" w:customStyle="1" w:styleId="NormalWebChar">
    <w:name w:val="Normal (Web) Char"/>
    <w:aliases w:val="Char Char Char Char, Char Char1 Char,Char Char1 Char, Char Char Char Char,Char Char5 Char,Char Char Char1,Char Char Char Char Char Char Char Char Char Char Char1,Char Char Char Char Char Char Char Char Char Char Char Char"/>
    <w:link w:val="NormalWeb"/>
    <w:uiPriority w:val="99"/>
    <w:qFormat/>
    <w:rsid w:val="004F488B"/>
    <w:rPr>
      <w:rFonts w:ascii="Times New Roman" w:eastAsia="Times New Roman" w:hAnsi="Times New Roman"/>
      <w:sz w:val="24"/>
      <w:szCs w:val="24"/>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qFormat/>
    <w:rsid w:val="001177AB"/>
    <w:pPr>
      <w:spacing w:after="160" w:line="240" w:lineRule="exact"/>
    </w:pPr>
    <w:rPr>
      <w:rFonts w:ascii="Calibri" w:eastAsia="Calibri" w:hAnsi="Calibri"/>
      <w:sz w:val="20"/>
      <w:szCs w:val="20"/>
      <w:vertAlign w:val="superscript"/>
    </w:rPr>
  </w:style>
  <w:style w:type="paragraph" w:styleId="BodyTextIndent2">
    <w:name w:val="Body Text Indent 2"/>
    <w:basedOn w:val="Normal"/>
    <w:link w:val="BodyTextIndent2Char"/>
    <w:uiPriority w:val="99"/>
    <w:unhideWhenUsed/>
    <w:rsid w:val="0094552B"/>
    <w:pPr>
      <w:spacing w:after="120" w:line="480" w:lineRule="auto"/>
      <w:ind w:left="360"/>
    </w:pPr>
  </w:style>
  <w:style w:type="character" w:customStyle="1" w:styleId="BodyTextIndent2Char">
    <w:name w:val="Body Text Indent 2 Char"/>
    <w:link w:val="BodyTextIndent2"/>
    <w:uiPriority w:val="99"/>
    <w:rsid w:val="0094552B"/>
    <w:rPr>
      <w:rFonts w:ascii="Times New Roman" w:eastAsia="Times New Roman" w:hAnsi="Times New Roman"/>
      <w:sz w:val="26"/>
      <w:szCs w:val="26"/>
    </w:rPr>
  </w:style>
  <w:style w:type="paragraph" w:customStyle="1" w:styleId="FootnotetextChar0">
    <w:name w:val="Footnote text Char"/>
    <w:basedOn w:val="Normal"/>
    <w:uiPriority w:val="99"/>
    <w:qFormat/>
    <w:rsid w:val="0094552B"/>
    <w:pPr>
      <w:spacing w:after="160" w:line="240" w:lineRule="exact"/>
    </w:pPr>
    <w:rPr>
      <w:rFonts w:ascii="Calibri" w:eastAsia="Calibri" w:hAnsi="Calibri"/>
      <w:sz w:val="22"/>
      <w:szCs w:val="22"/>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uiPriority w:val="99"/>
    <w:qFormat/>
    <w:rsid w:val="00A254AA"/>
    <w:pPr>
      <w:spacing w:after="160" w:line="240" w:lineRule="exact"/>
    </w:pPr>
    <w:rPr>
      <w:rFonts w:ascii="Calibri" w:eastAsia="Calibri" w:hAnsi="Calibri"/>
      <w:kern w:val="2"/>
      <w:sz w:val="22"/>
      <w:szCs w:val="22"/>
      <w:vertAlign w:val="superscript"/>
    </w:rPr>
  </w:style>
  <w:style w:type="character" w:customStyle="1" w:styleId="text">
    <w:name w:val="text"/>
    <w:rsid w:val="007F4F2E"/>
  </w:style>
  <w:style w:type="character" w:customStyle="1" w:styleId="Heading1Char">
    <w:name w:val="Heading 1 Char"/>
    <w:link w:val="Heading1"/>
    <w:uiPriority w:val="9"/>
    <w:rsid w:val="007F4F2E"/>
    <w:rPr>
      <w:rFonts w:ascii="Calibri Light" w:eastAsia="Yu Gothic Light" w:hAnsi="Calibri Light"/>
      <w:b/>
      <w:bCs/>
      <w:kern w:val="32"/>
      <w:sz w:val="32"/>
      <w:szCs w:val="32"/>
    </w:rPr>
  </w:style>
  <w:style w:type="character" w:customStyle="1" w:styleId="Heading8Char">
    <w:name w:val="Heading 8 Char"/>
    <w:link w:val="Heading8"/>
    <w:uiPriority w:val="9"/>
    <w:rsid w:val="007F4F2E"/>
    <w:rPr>
      <w:rFonts w:eastAsia="Times New Roman"/>
      <w:i/>
      <w:iCs/>
      <w:sz w:val="24"/>
      <w:szCs w:val="24"/>
    </w:rPr>
  </w:style>
  <w:style w:type="paragraph" w:customStyle="1" w:styleId="1nho">
    <w:name w:val="1 nho"/>
    <w:basedOn w:val="Normal"/>
    <w:link w:val="1nhoChar"/>
    <w:rsid w:val="007F4F2E"/>
    <w:pPr>
      <w:autoSpaceDE w:val="0"/>
      <w:autoSpaceDN w:val="0"/>
      <w:adjustRightInd w:val="0"/>
      <w:spacing w:before="120" w:after="80" w:line="300" w:lineRule="exact"/>
      <w:ind w:firstLine="425"/>
      <w:jc w:val="both"/>
    </w:pPr>
    <w:rPr>
      <w:rFonts w:ascii=".VnCentury Schoolbook" w:hAnsi=".VnCentury Schoolbook"/>
      <w:b/>
      <w:bCs/>
      <w:color w:val="000000"/>
      <w:sz w:val="24"/>
      <w:szCs w:val="24"/>
      <w:lang w:val="x-none" w:eastAsia="x-none"/>
    </w:rPr>
  </w:style>
  <w:style w:type="character" w:customStyle="1" w:styleId="1nhoChar">
    <w:name w:val="1 nho Char"/>
    <w:link w:val="1nho"/>
    <w:locked/>
    <w:rsid w:val="007F4F2E"/>
    <w:rPr>
      <w:rFonts w:ascii=".VnCentury Schoolbook" w:eastAsia="Times New Roman" w:hAnsi=".VnCentury Schoolbook"/>
      <w:b/>
      <w:bCs/>
      <w:color w:val="000000"/>
      <w:sz w:val="24"/>
      <w:szCs w:val="24"/>
      <w:lang w:val="x-none" w:eastAsia="x-none"/>
    </w:rPr>
  </w:style>
  <w:style w:type="character" w:styleId="Hyperlink">
    <w:name w:val="Hyperlink"/>
    <w:uiPriority w:val="99"/>
    <w:unhideWhenUsed/>
    <w:rsid w:val="00F02EE7"/>
    <w:rPr>
      <w:color w:val="0000FF"/>
      <w:u w:val="single"/>
    </w:rPr>
  </w:style>
  <w:style w:type="paragraph" w:customStyle="1" w:styleId="xmsonormal">
    <w:name w:val="x_msonormal"/>
    <w:basedOn w:val="Normal"/>
    <w:rsid w:val="00343984"/>
    <w:pPr>
      <w:spacing w:before="100" w:beforeAutospacing="1" w:after="100" w:afterAutospacing="1"/>
    </w:pPr>
    <w:rPr>
      <w:sz w:val="24"/>
      <w:szCs w:val="24"/>
    </w:rPr>
  </w:style>
  <w:style w:type="character" w:customStyle="1" w:styleId="Vnbnnidung">
    <w:name w:val="Văn bản nội dung_"/>
    <w:link w:val="Vnbnnidung0"/>
    <w:uiPriority w:val="99"/>
    <w:qFormat/>
    <w:rsid w:val="00C12ACF"/>
    <w:rPr>
      <w:sz w:val="26"/>
      <w:szCs w:val="26"/>
    </w:rPr>
  </w:style>
  <w:style w:type="paragraph" w:customStyle="1" w:styleId="Vnbnnidung0">
    <w:name w:val="Văn bản nội dung"/>
    <w:basedOn w:val="Normal"/>
    <w:link w:val="Vnbnnidung"/>
    <w:uiPriority w:val="99"/>
    <w:qFormat/>
    <w:rsid w:val="00C12ACF"/>
    <w:pPr>
      <w:widowControl w:val="0"/>
      <w:spacing w:after="100" w:line="257" w:lineRule="auto"/>
      <w:ind w:firstLine="400"/>
    </w:pPr>
    <w:rPr>
      <w:rFonts w:ascii="Calibri" w:eastAsia="Calibri" w:hAnsi="Calibri"/>
    </w:rPr>
  </w:style>
  <w:style w:type="paragraph" w:styleId="Revision">
    <w:name w:val="Revision"/>
    <w:hidden/>
    <w:uiPriority w:val="99"/>
    <w:semiHidden/>
    <w:rsid w:val="007C1EF6"/>
    <w:rPr>
      <w:rFonts w:ascii="Times New Roman" w:eastAsia="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800413">
      <w:bodyDiv w:val="1"/>
      <w:marLeft w:val="0"/>
      <w:marRight w:val="0"/>
      <w:marTop w:val="0"/>
      <w:marBottom w:val="0"/>
      <w:divBdr>
        <w:top w:val="none" w:sz="0" w:space="0" w:color="auto"/>
        <w:left w:val="none" w:sz="0" w:space="0" w:color="auto"/>
        <w:bottom w:val="none" w:sz="0" w:space="0" w:color="auto"/>
        <w:right w:val="none" w:sz="0" w:space="0" w:color="auto"/>
      </w:divBdr>
    </w:div>
    <w:div w:id="202452075">
      <w:bodyDiv w:val="1"/>
      <w:marLeft w:val="0"/>
      <w:marRight w:val="0"/>
      <w:marTop w:val="0"/>
      <w:marBottom w:val="0"/>
      <w:divBdr>
        <w:top w:val="none" w:sz="0" w:space="0" w:color="auto"/>
        <w:left w:val="none" w:sz="0" w:space="0" w:color="auto"/>
        <w:bottom w:val="none" w:sz="0" w:space="0" w:color="auto"/>
        <w:right w:val="none" w:sz="0" w:space="0" w:color="auto"/>
      </w:divBdr>
    </w:div>
    <w:div w:id="387412869">
      <w:bodyDiv w:val="1"/>
      <w:marLeft w:val="0"/>
      <w:marRight w:val="0"/>
      <w:marTop w:val="0"/>
      <w:marBottom w:val="0"/>
      <w:divBdr>
        <w:top w:val="none" w:sz="0" w:space="0" w:color="auto"/>
        <w:left w:val="none" w:sz="0" w:space="0" w:color="auto"/>
        <w:bottom w:val="none" w:sz="0" w:space="0" w:color="auto"/>
        <w:right w:val="none" w:sz="0" w:space="0" w:color="auto"/>
      </w:divBdr>
    </w:div>
    <w:div w:id="445393826">
      <w:bodyDiv w:val="1"/>
      <w:marLeft w:val="0"/>
      <w:marRight w:val="0"/>
      <w:marTop w:val="0"/>
      <w:marBottom w:val="0"/>
      <w:divBdr>
        <w:top w:val="none" w:sz="0" w:space="0" w:color="auto"/>
        <w:left w:val="none" w:sz="0" w:space="0" w:color="auto"/>
        <w:bottom w:val="none" w:sz="0" w:space="0" w:color="auto"/>
        <w:right w:val="none" w:sz="0" w:space="0" w:color="auto"/>
      </w:divBdr>
    </w:div>
    <w:div w:id="503399879">
      <w:bodyDiv w:val="1"/>
      <w:marLeft w:val="0"/>
      <w:marRight w:val="0"/>
      <w:marTop w:val="0"/>
      <w:marBottom w:val="0"/>
      <w:divBdr>
        <w:top w:val="none" w:sz="0" w:space="0" w:color="auto"/>
        <w:left w:val="none" w:sz="0" w:space="0" w:color="auto"/>
        <w:bottom w:val="none" w:sz="0" w:space="0" w:color="auto"/>
        <w:right w:val="none" w:sz="0" w:space="0" w:color="auto"/>
      </w:divBdr>
    </w:div>
    <w:div w:id="564875037">
      <w:bodyDiv w:val="1"/>
      <w:marLeft w:val="0"/>
      <w:marRight w:val="0"/>
      <w:marTop w:val="0"/>
      <w:marBottom w:val="0"/>
      <w:divBdr>
        <w:top w:val="none" w:sz="0" w:space="0" w:color="auto"/>
        <w:left w:val="none" w:sz="0" w:space="0" w:color="auto"/>
        <w:bottom w:val="none" w:sz="0" w:space="0" w:color="auto"/>
        <w:right w:val="none" w:sz="0" w:space="0" w:color="auto"/>
      </w:divBdr>
    </w:div>
    <w:div w:id="586576961">
      <w:bodyDiv w:val="1"/>
      <w:marLeft w:val="0"/>
      <w:marRight w:val="0"/>
      <w:marTop w:val="0"/>
      <w:marBottom w:val="0"/>
      <w:divBdr>
        <w:top w:val="none" w:sz="0" w:space="0" w:color="auto"/>
        <w:left w:val="none" w:sz="0" w:space="0" w:color="auto"/>
        <w:bottom w:val="none" w:sz="0" w:space="0" w:color="auto"/>
        <w:right w:val="none" w:sz="0" w:space="0" w:color="auto"/>
      </w:divBdr>
    </w:div>
    <w:div w:id="1298560468">
      <w:bodyDiv w:val="1"/>
      <w:marLeft w:val="0"/>
      <w:marRight w:val="0"/>
      <w:marTop w:val="0"/>
      <w:marBottom w:val="0"/>
      <w:divBdr>
        <w:top w:val="none" w:sz="0" w:space="0" w:color="auto"/>
        <w:left w:val="none" w:sz="0" w:space="0" w:color="auto"/>
        <w:bottom w:val="none" w:sz="0" w:space="0" w:color="auto"/>
        <w:right w:val="none" w:sz="0" w:space="0" w:color="auto"/>
      </w:divBdr>
    </w:div>
    <w:div w:id="1592009465">
      <w:bodyDiv w:val="1"/>
      <w:marLeft w:val="0"/>
      <w:marRight w:val="0"/>
      <w:marTop w:val="0"/>
      <w:marBottom w:val="0"/>
      <w:divBdr>
        <w:top w:val="none" w:sz="0" w:space="0" w:color="auto"/>
        <w:left w:val="none" w:sz="0" w:space="0" w:color="auto"/>
        <w:bottom w:val="none" w:sz="0" w:space="0" w:color="auto"/>
        <w:right w:val="none" w:sz="0" w:space="0" w:color="auto"/>
      </w:divBdr>
    </w:div>
    <w:div w:id="177728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98CDE-EEAD-49AE-BCE9-9A7369A79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1433</TotalTime>
  <Pages>33</Pages>
  <Words>11029</Words>
  <Characters>62868</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Vietnam State Audit</Company>
  <LinksUpToDate>false</LinksUpToDate>
  <CharactersWithSpaces>73750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Trương Hồng Hải</cp:lastModifiedBy>
  <cp:revision>88</cp:revision>
  <cp:lastPrinted>2026-04-03T03:07:00Z</cp:lastPrinted>
  <dcterms:created xsi:type="dcterms:W3CDTF">2025-02-05T01:38:00Z</dcterms:created>
  <dcterms:modified xsi:type="dcterms:W3CDTF">2026-04-03T03:11:00Z</dcterms:modified>
</cp:coreProperties>
</file>