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1F8E6" w14:textId="69936CE2" w:rsidR="00434DCB" w:rsidRDefault="00A303F3" w:rsidP="00434DCB">
      <w:pPr>
        <w:spacing w:after="0"/>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lục số</w:t>
      </w:r>
      <w:r w:rsidR="00434DCB" w:rsidRPr="00E24264">
        <w:rPr>
          <w:rFonts w:ascii="Times New Roman" w:eastAsia="Times New Roman" w:hAnsi="Times New Roman" w:cs="Times New Roman"/>
          <w:b/>
          <w:bCs/>
          <w:sz w:val="28"/>
          <w:szCs w:val="28"/>
        </w:rPr>
        <w:t xml:space="preserve"> 0</w:t>
      </w:r>
      <w:r w:rsidR="00434DCB">
        <w:rPr>
          <w:rFonts w:ascii="Times New Roman" w:eastAsia="Times New Roman" w:hAnsi="Times New Roman" w:cs="Times New Roman"/>
          <w:b/>
          <w:bCs/>
          <w:sz w:val="28"/>
          <w:szCs w:val="28"/>
        </w:rPr>
        <w:t>7</w:t>
      </w:r>
    </w:p>
    <w:p w14:paraId="612EBBB4" w14:textId="33AC31DF" w:rsidR="00045D9A" w:rsidRPr="00E24264" w:rsidRDefault="00EE6368" w:rsidP="00434DCB">
      <w:pPr>
        <w:spacing w:before="240" w:after="120"/>
        <w:jc w:val="center"/>
        <w:rPr>
          <w:rFonts w:ascii="Times New Roman" w:eastAsia="Times New Roman" w:hAnsi="Times New Roman" w:cs="Times New Roman"/>
          <w:b/>
          <w:bCs/>
          <w:sz w:val="28"/>
          <w:szCs w:val="28"/>
        </w:rPr>
      </w:pPr>
      <w:r w:rsidRPr="00E24264">
        <w:rPr>
          <w:rFonts w:ascii="Times New Roman" w:eastAsia="Times New Roman" w:hAnsi="Times New Roman" w:cs="Times New Roman"/>
          <w:b/>
          <w:bCs/>
          <w:sz w:val="28"/>
          <w:szCs w:val="28"/>
        </w:rPr>
        <w:t xml:space="preserve">TỔNG HỢP KIẾN NGHỊ CỦA KIỂM TOÁN NHÀ NƯỚC ĐỐI VỚI VIỆC BAN HÀNH, SỬA ĐỔI, BỔ SUNG HOẶC HỦY BỎ VĂN BẢN TỪ KẾT QUẢ KIỂM TOÁN </w:t>
      </w:r>
      <w:r w:rsidR="0048050B" w:rsidRPr="00E24264">
        <w:rPr>
          <w:rFonts w:ascii="Times New Roman" w:eastAsia="Times New Roman" w:hAnsi="Times New Roman" w:cs="Times New Roman"/>
          <w:b/>
          <w:bCs/>
          <w:sz w:val="28"/>
          <w:szCs w:val="28"/>
        </w:rPr>
        <w:t>NĂM 2025</w:t>
      </w:r>
    </w:p>
    <w:p w14:paraId="612EBBB5" w14:textId="414527DE" w:rsidR="00045D9A" w:rsidRPr="00E24264" w:rsidRDefault="00EE6368" w:rsidP="0021223B">
      <w:pPr>
        <w:spacing w:after="120"/>
        <w:ind w:left="-142" w:firstLine="284"/>
        <w:jc w:val="both"/>
        <w:rPr>
          <w:rFonts w:ascii="Times New Roman" w:eastAsia="Times New Roman" w:hAnsi="Times New Roman" w:cs="Times New Roman"/>
          <w:sz w:val="28"/>
          <w:szCs w:val="28"/>
        </w:rPr>
      </w:pPr>
      <w:bookmarkStart w:id="0" w:name="_onizng7m086h" w:colFirst="0" w:colLast="0"/>
      <w:bookmarkEnd w:id="0"/>
      <w:r w:rsidRPr="00E24264">
        <w:rPr>
          <w:rFonts w:ascii="Times New Roman" w:eastAsia="Times New Roman" w:hAnsi="Times New Roman" w:cs="Times New Roman"/>
          <w:sz w:val="28"/>
          <w:szCs w:val="28"/>
        </w:rPr>
        <w:t xml:space="preserve">Tổng số văn bản KTNN kiến nghị </w:t>
      </w:r>
      <w:r w:rsidR="00EC1FAD" w:rsidRPr="00E24264">
        <w:rPr>
          <w:rFonts w:ascii="Times New Roman" w:eastAsia="Times New Roman" w:hAnsi="Times New Roman" w:cs="Times New Roman"/>
          <w:sz w:val="28"/>
          <w:szCs w:val="28"/>
        </w:rPr>
        <w:t>166</w:t>
      </w:r>
      <w:r w:rsidRPr="00E24264">
        <w:rPr>
          <w:rFonts w:ascii="Times New Roman" w:eastAsia="Times New Roman" w:hAnsi="Times New Roman" w:cs="Times New Roman"/>
          <w:sz w:val="28"/>
          <w:szCs w:val="28"/>
        </w:rPr>
        <w:t xml:space="preserve"> văn bản bao gồm:</w:t>
      </w:r>
      <w:r w:rsidR="000551EC" w:rsidRPr="00E24264">
        <w:rPr>
          <w:rFonts w:ascii="Times New Roman" w:eastAsia="Times New Roman" w:hAnsi="Times New Roman" w:cs="Times New Roman"/>
          <w:sz w:val="28"/>
          <w:szCs w:val="28"/>
        </w:rPr>
        <w:t xml:space="preserve"> 01 Luật,</w:t>
      </w:r>
      <w:r w:rsidRPr="00E24264">
        <w:rPr>
          <w:rFonts w:ascii="Times New Roman" w:eastAsia="Times New Roman" w:hAnsi="Times New Roman" w:cs="Times New Roman"/>
          <w:sz w:val="28"/>
          <w:szCs w:val="28"/>
        </w:rPr>
        <w:t xml:space="preserve"> </w:t>
      </w:r>
      <w:r w:rsidR="00DA6D22" w:rsidRPr="00E24264">
        <w:rPr>
          <w:rFonts w:ascii="Times New Roman" w:eastAsia="Times New Roman" w:hAnsi="Times New Roman" w:cs="Times New Roman"/>
          <w:sz w:val="28"/>
          <w:szCs w:val="28"/>
        </w:rPr>
        <w:t xml:space="preserve">11 </w:t>
      </w:r>
      <w:r w:rsidRPr="00E24264">
        <w:rPr>
          <w:rFonts w:ascii="Times New Roman" w:eastAsia="Times New Roman" w:hAnsi="Times New Roman" w:cs="Times New Roman"/>
          <w:sz w:val="28"/>
          <w:szCs w:val="28"/>
        </w:rPr>
        <w:t xml:space="preserve">Nghị định, </w:t>
      </w:r>
      <w:r w:rsidR="0006172C" w:rsidRPr="00E24264">
        <w:rPr>
          <w:rFonts w:ascii="Times New Roman" w:eastAsia="Times New Roman" w:hAnsi="Times New Roman" w:cs="Times New Roman"/>
          <w:sz w:val="28"/>
          <w:szCs w:val="28"/>
        </w:rPr>
        <w:t>0</w:t>
      </w:r>
      <w:r w:rsidR="00F07BE2" w:rsidRPr="00E24264">
        <w:rPr>
          <w:rFonts w:ascii="Times New Roman" w:eastAsia="Times New Roman" w:hAnsi="Times New Roman" w:cs="Times New Roman"/>
          <w:sz w:val="28"/>
          <w:szCs w:val="28"/>
        </w:rPr>
        <w:t>2</w:t>
      </w:r>
      <w:r w:rsidR="0006172C" w:rsidRPr="00E24264">
        <w:rPr>
          <w:rFonts w:ascii="Times New Roman" w:eastAsia="Times New Roman" w:hAnsi="Times New Roman" w:cs="Times New Roman"/>
          <w:sz w:val="28"/>
          <w:szCs w:val="28"/>
        </w:rPr>
        <w:t xml:space="preserve"> Quyết định của TTCP, </w:t>
      </w:r>
      <w:r w:rsidR="00F07BE2" w:rsidRPr="00E24264">
        <w:rPr>
          <w:rFonts w:ascii="Times New Roman" w:eastAsia="Times New Roman" w:hAnsi="Times New Roman" w:cs="Times New Roman"/>
          <w:sz w:val="28"/>
          <w:szCs w:val="28"/>
        </w:rPr>
        <w:t>18</w:t>
      </w:r>
      <w:r w:rsidRPr="00E24264">
        <w:rPr>
          <w:rFonts w:ascii="Times New Roman" w:eastAsia="Times New Roman" w:hAnsi="Times New Roman" w:cs="Times New Roman"/>
          <w:sz w:val="28"/>
          <w:szCs w:val="28"/>
        </w:rPr>
        <w:t xml:space="preserve"> Thông tư, </w:t>
      </w:r>
      <w:r w:rsidR="00EC1FAD" w:rsidRPr="00E24264">
        <w:rPr>
          <w:rFonts w:ascii="Times New Roman" w:eastAsia="Times New Roman" w:hAnsi="Times New Roman" w:cs="Times New Roman"/>
          <w:sz w:val="28"/>
          <w:szCs w:val="28"/>
        </w:rPr>
        <w:t>134</w:t>
      </w:r>
      <w:r w:rsidRPr="00E24264">
        <w:rPr>
          <w:rFonts w:ascii="Times New Roman" w:eastAsia="Times New Roman" w:hAnsi="Times New Roman" w:cs="Times New Roman"/>
          <w:sz w:val="28"/>
          <w:szCs w:val="28"/>
        </w:rPr>
        <w:t xml:space="preserve"> Văn bản khác</w:t>
      </w:r>
    </w:p>
    <w:tbl>
      <w:tblPr>
        <w:tblStyle w:val="2"/>
        <w:tblpPr w:leftFromText="181" w:rightFromText="181" w:vertAnchor="text" w:tblpX="-152" w:tblpY="1"/>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993"/>
        <w:gridCol w:w="851"/>
        <w:gridCol w:w="851"/>
        <w:gridCol w:w="5672"/>
        <w:gridCol w:w="3827"/>
        <w:gridCol w:w="2126"/>
      </w:tblGrid>
      <w:tr w:rsidR="00A40329" w:rsidRPr="00E24264" w14:paraId="612EBBBF" w14:textId="77777777" w:rsidTr="00A40329">
        <w:trPr>
          <w:cantSplit/>
          <w:trHeight w:val="43"/>
          <w:tblHeader/>
        </w:trPr>
        <w:tc>
          <w:tcPr>
            <w:tcW w:w="559" w:type="dxa"/>
          </w:tcPr>
          <w:p w14:paraId="26809FC2" w14:textId="77777777" w:rsidR="00E759B1" w:rsidRDefault="00E759B1" w:rsidP="00F879D6">
            <w:pPr>
              <w:spacing w:after="0" w:line="240" w:lineRule="auto"/>
              <w:jc w:val="center"/>
              <w:rPr>
                <w:rFonts w:ascii="Times New Roman" w:eastAsia="Times New Roman" w:hAnsi="Times New Roman" w:cs="Times New Roman"/>
                <w:b/>
                <w:bCs/>
                <w:sz w:val="20"/>
                <w:szCs w:val="20"/>
              </w:rPr>
            </w:pPr>
          </w:p>
          <w:p w14:paraId="612EBBB6" w14:textId="1D60D2B8" w:rsidR="00A40329" w:rsidRPr="00E24264" w:rsidRDefault="00A40329" w:rsidP="00F879D6">
            <w:pPr>
              <w:spacing w:after="0" w:line="240" w:lineRule="auto"/>
              <w:jc w:val="center"/>
              <w:rPr>
                <w:rFonts w:ascii="Times New Roman" w:eastAsia="Times New Roman" w:hAnsi="Times New Roman" w:cs="Times New Roman"/>
                <w:b/>
                <w:bCs/>
                <w:sz w:val="20"/>
                <w:szCs w:val="20"/>
              </w:rPr>
            </w:pPr>
            <w:bookmarkStart w:id="1" w:name="_GoBack"/>
            <w:bookmarkEnd w:id="1"/>
            <w:r w:rsidRPr="00E24264">
              <w:rPr>
                <w:rFonts w:ascii="Times New Roman" w:eastAsia="Times New Roman" w:hAnsi="Times New Roman" w:cs="Times New Roman"/>
                <w:b/>
                <w:bCs/>
                <w:sz w:val="20"/>
                <w:szCs w:val="20"/>
              </w:rPr>
              <w:t>TT</w:t>
            </w:r>
          </w:p>
        </w:tc>
        <w:tc>
          <w:tcPr>
            <w:tcW w:w="993" w:type="dxa"/>
            <w:vAlign w:val="center"/>
          </w:tcPr>
          <w:p w14:paraId="612EBBB7"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Cơ quan được kiến nghị</w:t>
            </w:r>
          </w:p>
        </w:tc>
        <w:tc>
          <w:tcPr>
            <w:tcW w:w="851" w:type="dxa"/>
            <w:vAlign w:val="center"/>
          </w:tcPr>
          <w:p w14:paraId="612EBBB8"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Loại văn bản</w:t>
            </w:r>
          </w:p>
        </w:tc>
        <w:tc>
          <w:tcPr>
            <w:tcW w:w="851" w:type="dxa"/>
            <w:vAlign w:val="center"/>
          </w:tcPr>
          <w:p w14:paraId="612EBBB9"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Loại kiến nghị</w:t>
            </w:r>
          </w:p>
        </w:tc>
        <w:tc>
          <w:tcPr>
            <w:tcW w:w="5672" w:type="dxa"/>
            <w:vAlign w:val="center"/>
          </w:tcPr>
          <w:p w14:paraId="612EBBBA"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Kết quả kiểm toán</w:t>
            </w:r>
          </w:p>
        </w:tc>
        <w:tc>
          <w:tcPr>
            <w:tcW w:w="3827" w:type="dxa"/>
            <w:vAlign w:val="center"/>
          </w:tcPr>
          <w:p w14:paraId="612EBBBB"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Nội dung kiến nghị</w:t>
            </w:r>
          </w:p>
        </w:tc>
        <w:tc>
          <w:tcPr>
            <w:tcW w:w="2126" w:type="dxa"/>
            <w:vAlign w:val="center"/>
          </w:tcPr>
          <w:p w14:paraId="612EBBBC"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Trích từ BCKT</w:t>
            </w:r>
          </w:p>
        </w:tc>
      </w:tr>
      <w:tr w:rsidR="00A40329" w:rsidRPr="00E24264" w14:paraId="612EBBC9" w14:textId="77777777" w:rsidTr="00A40329">
        <w:trPr>
          <w:cantSplit/>
          <w:trHeight w:val="131"/>
        </w:trPr>
        <w:tc>
          <w:tcPr>
            <w:tcW w:w="559" w:type="dxa"/>
          </w:tcPr>
          <w:p w14:paraId="612EBBC0"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I</w:t>
            </w:r>
          </w:p>
        </w:tc>
        <w:tc>
          <w:tcPr>
            <w:tcW w:w="993" w:type="dxa"/>
          </w:tcPr>
          <w:p w14:paraId="612EBBC1"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Luật</w:t>
            </w:r>
          </w:p>
        </w:tc>
        <w:tc>
          <w:tcPr>
            <w:tcW w:w="851" w:type="dxa"/>
          </w:tcPr>
          <w:p w14:paraId="612EBBC2"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612EBBC3"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p>
        </w:tc>
        <w:tc>
          <w:tcPr>
            <w:tcW w:w="5672" w:type="dxa"/>
            <w:tcBorders>
              <w:top w:val="single" w:sz="4" w:space="0" w:color="000000"/>
              <w:left w:val="single" w:sz="4" w:space="0" w:color="000000"/>
              <w:bottom w:val="single" w:sz="4" w:space="0" w:color="000000"/>
              <w:right w:val="single" w:sz="4" w:space="0" w:color="000000"/>
            </w:tcBorders>
          </w:tcPr>
          <w:p w14:paraId="612EBBC4" w14:textId="77777777" w:rsidR="00A40329" w:rsidRPr="00E24264" w:rsidRDefault="00A40329" w:rsidP="00F879D6">
            <w:pPr>
              <w:spacing w:after="0" w:line="240" w:lineRule="auto"/>
              <w:jc w:val="both"/>
              <w:rPr>
                <w:rFonts w:ascii="Times New Roman" w:eastAsia="Times New Roman" w:hAnsi="Times New Roman" w:cs="Times New Roman"/>
                <w:b/>
                <w:bCs/>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612EBBC5" w14:textId="77777777" w:rsidR="00A40329" w:rsidRPr="00E24264" w:rsidRDefault="00A40329" w:rsidP="00F879D6">
            <w:pPr>
              <w:spacing w:after="0" w:line="240" w:lineRule="auto"/>
              <w:jc w:val="both"/>
              <w:rPr>
                <w:rFonts w:ascii="Times New Roman" w:eastAsia="Times New Roman" w:hAnsi="Times New Roman" w:cs="Times New Roman"/>
                <w:b/>
                <w:bCs/>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12EBBC6" w14:textId="77777777" w:rsidR="00A40329" w:rsidRPr="00E24264" w:rsidRDefault="00A40329" w:rsidP="00F879D6">
            <w:pPr>
              <w:spacing w:after="0" w:line="240" w:lineRule="auto"/>
              <w:jc w:val="both"/>
              <w:rPr>
                <w:rFonts w:ascii="Times New Roman" w:eastAsia="Times New Roman" w:hAnsi="Times New Roman" w:cs="Times New Roman"/>
                <w:b/>
                <w:bCs/>
                <w:sz w:val="20"/>
                <w:szCs w:val="20"/>
              </w:rPr>
            </w:pPr>
          </w:p>
        </w:tc>
      </w:tr>
      <w:tr w:rsidR="00A40329" w:rsidRPr="00E24264" w14:paraId="612EBBD3" w14:textId="77777777" w:rsidTr="00A40329">
        <w:trPr>
          <w:cantSplit/>
          <w:trHeight w:val="319"/>
        </w:trPr>
        <w:tc>
          <w:tcPr>
            <w:tcW w:w="559" w:type="dxa"/>
          </w:tcPr>
          <w:p w14:paraId="612EBBCA" w14:textId="77777777" w:rsidR="00A40329" w:rsidRPr="00E24264" w:rsidRDefault="00A40329" w:rsidP="00F879D6">
            <w:pPr>
              <w:numPr>
                <w:ilvl w:val="0"/>
                <w:numId w:val="5"/>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BCB" w14:textId="45CDEE93"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BCC" w14:textId="08464D34"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Luật Khu công nghiệp, khu kinh tế</w:t>
            </w:r>
          </w:p>
        </w:tc>
        <w:tc>
          <w:tcPr>
            <w:tcW w:w="851" w:type="dxa"/>
            <w:tcBorders>
              <w:top w:val="single" w:sz="4" w:space="0" w:color="000000"/>
              <w:left w:val="single" w:sz="4" w:space="0" w:color="000000"/>
              <w:bottom w:val="single" w:sz="4" w:space="0" w:color="000000"/>
              <w:right w:val="single" w:sz="4" w:space="0" w:color="000000"/>
            </w:tcBorders>
          </w:tcPr>
          <w:p w14:paraId="612EBBCD" w14:textId="6A6A72E3"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Borders>
              <w:top w:val="single" w:sz="4" w:space="0" w:color="000000"/>
              <w:left w:val="single" w:sz="4" w:space="0" w:color="000000"/>
              <w:bottom w:val="single" w:sz="4" w:space="0" w:color="000000"/>
              <w:right w:val="single" w:sz="4" w:space="0" w:color="000000"/>
            </w:tcBorders>
          </w:tcPr>
          <w:p w14:paraId="612EBBCE" w14:textId="79834533" w:rsidR="00A40329" w:rsidRPr="00E24264" w:rsidRDefault="00A40329" w:rsidP="00F879D6">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Tính pháp lý của các quy định về KKT, KCN còn thấp do chưa có Luật, trong khi các văn bản hướng dẫn theo Nghị định số 35/2022/NĐ-CP chưa được ban hành đầy đủ, gây khó khăn trong thực thi và đặc biệt cản trở việc triển khai mô hình KCN mới, cụ thể: Chính phủ đã yêu cầu Bộ Kế hoạch và Đầu tư chủ trì xây dựng, đề xuất bổ sung dự án Luật Khu công nghiệp, khu kinh tế trình Chính phủ xem xét tại Nghị quyết số 01/NQ-CP ngày 08/01/2022 nhưng chưa được thực hiện. Các quy định hiện hành mới dừng ở cấp Nghị định nên khi văn bản pháp luật chuyên ngành thay đổi, Ban Quản lý KCN phải xin ý kiến nhiều cấp, nhiều cơ quan dẫn đến suy giảm hiệu quả cơ chế “một cửa, tại chỗ”; nhà đầu tư vẫn phải trải qua “nhiều cửa” để hoàn thành thủ tục, kéo dài thời gian chuẩn bị dự án. Kết quả chọn mẫu kiểm toán cho thấy tình trạng cấp Giấy chứng nhận đầu tư khi chưa hoàn tất báo cáo đánh giá tác động môi trường (KCN Lê Minh Xuân 3 và KCN Hiệp Phước), nguyên nhân chủ yếu do vướng mắc về thẩm quyền giữa quy định pháp luật chuyên ngành và nhiệm vụ giao cho Ban Quản lý KCN. </w:t>
            </w:r>
          </w:p>
        </w:tc>
        <w:tc>
          <w:tcPr>
            <w:tcW w:w="3827" w:type="dxa"/>
            <w:tcBorders>
              <w:top w:val="single" w:sz="4" w:space="0" w:color="000000"/>
              <w:left w:val="single" w:sz="4" w:space="0" w:color="000000"/>
              <w:bottom w:val="single" w:sz="4" w:space="0" w:color="000000"/>
              <w:right w:val="single" w:sz="4" w:space="0" w:color="000000"/>
            </w:tcBorders>
          </w:tcPr>
          <w:p w14:paraId="612EBBCF" w14:textId="414A7209" w:rsidR="00A40329" w:rsidRPr="00E24264" w:rsidRDefault="00A40329" w:rsidP="00F879D6">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Khẩn trương báo cáo Chính phủ việc xây dựng Dự án Luật Khu công nghiệp, khu kinh tế theo đúng nhiệm vụ được giao tại Nghị quyết số 01/NQ-CP ngày 08/01/2022 và các văn bản liên quan.</w:t>
            </w:r>
          </w:p>
        </w:tc>
        <w:tc>
          <w:tcPr>
            <w:tcW w:w="2126" w:type="dxa"/>
            <w:tcBorders>
              <w:top w:val="single" w:sz="4" w:space="0" w:color="000000"/>
              <w:left w:val="single" w:sz="4" w:space="0" w:color="000000"/>
              <w:bottom w:val="single" w:sz="4" w:space="0" w:color="000000"/>
              <w:right w:val="single" w:sz="4" w:space="0" w:color="000000"/>
            </w:tcBorders>
          </w:tcPr>
          <w:p w14:paraId="612EBBD0" w14:textId="49A4750D" w:rsidR="00A40329" w:rsidRPr="00E24264" w:rsidRDefault="00A40329" w:rsidP="00F879D6">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thực hiện chính sách ưu đãi đầu tư tại khu kinh tế, khu công nghiệp giai đoạn 2022-2024 tại Thành phố Hồ Chí Minh.</w:t>
            </w:r>
          </w:p>
        </w:tc>
      </w:tr>
      <w:tr w:rsidR="00A40329" w:rsidRPr="00E24264" w14:paraId="612EBBDC" w14:textId="77777777" w:rsidTr="00A40329">
        <w:trPr>
          <w:cantSplit/>
          <w:trHeight w:val="43"/>
          <w:tblHeader/>
        </w:trPr>
        <w:tc>
          <w:tcPr>
            <w:tcW w:w="559" w:type="dxa"/>
          </w:tcPr>
          <w:p w14:paraId="612EBBD4"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II</w:t>
            </w:r>
          </w:p>
        </w:tc>
        <w:tc>
          <w:tcPr>
            <w:tcW w:w="1844" w:type="dxa"/>
            <w:gridSpan w:val="2"/>
          </w:tcPr>
          <w:p w14:paraId="612EBBD5" w14:textId="77777777" w:rsidR="00A40329" w:rsidRPr="00E24264" w:rsidRDefault="00A40329" w:rsidP="00F879D6">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Nghị định</w:t>
            </w:r>
          </w:p>
        </w:tc>
        <w:tc>
          <w:tcPr>
            <w:tcW w:w="851" w:type="dxa"/>
          </w:tcPr>
          <w:p w14:paraId="612EBBD6"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p>
        </w:tc>
        <w:tc>
          <w:tcPr>
            <w:tcW w:w="5672" w:type="dxa"/>
          </w:tcPr>
          <w:p w14:paraId="612EBBD7"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p>
        </w:tc>
        <w:tc>
          <w:tcPr>
            <w:tcW w:w="3827" w:type="dxa"/>
          </w:tcPr>
          <w:p w14:paraId="612EBBD8" w14:textId="77777777" w:rsidR="00A40329" w:rsidRPr="00E24264" w:rsidRDefault="00A40329" w:rsidP="00F879D6">
            <w:pPr>
              <w:spacing w:after="0" w:line="240" w:lineRule="auto"/>
              <w:jc w:val="center"/>
              <w:rPr>
                <w:rFonts w:ascii="Times New Roman" w:eastAsia="Times New Roman" w:hAnsi="Times New Roman" w:cs="Times New Roman"/>
                <w:b/>
                <w:bCs/>
                <w:sz w:val="20"/>
                <w:szCs w:val="20"/>
              </w:rPr>
            </w:pPr>
          </w:p>
        </w:tc>
        <w:tc>
          <w:tcPr>
            <w:tcW w:w="2126" w:type="dxa"/>
          </w:tcPr>
          <w:p w14:paraId="612EBBD9" w14:textId="77777777" w:rsidR="00A40329" w:rsidRPr="00E24264" w:rsidRDefault="00A40329" w:rsidP="00F879D6">
            <w:pPr>
              <w:spacing w:after="0" w:line="240" w:lineRule="auto"/>
              <w:jc w:val="both"/>
              <w:rPr>
                <w:rFonts w:ascii="Times New Roman" w:eastAsia="Times New Roman" w:hAnsi="Times New Roman" w:cs="Times New Roman"/>
                <w:b/>
                <w:bCs/>
                <w:sz w:val="20"/>
                <w:szCs w:val="20"/>
              </w:rPr>
            </w:pPr>
          </w:p>
        </w:tc>
      </w:tr>
      <w:tr w:rsidR="00A40329" w:rsidRPr="00E24264" w14:paraId="612EBBE6" w14:textId="77777777" w:rsidTr="00A40329">
        <w:trPr>
          <w:cantSplit/>
          <w:trHeight w:val="271"/>
        </w:trPr>
        <w:tc>
          <w:tcPr>
            <w:tcW w:w="559" w:type="dxa"/>
          </w:tcPr>
          <w:p w14:paraId="612EBBDD" w14:textId="77777777" w:rsidR="00A40329" w:rsidRPr="00E24264" w:rsidRDefault="00A40329" w:rsidP="00E91821">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BDE" w14:textId="77777777"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BDF" w14:textId="77777777"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số 49/2025/NĐ-CP ngày 28/2/2025</w:t>
            </w:r>
          </w:p>
        </w:tc>
        <w:tc>
          <w:tcPr>
            <w:tcW w:w="851" w:type="dxa"/>
            <w:tcBorders>
              <w:top w:val="single" w:sz="4" w:space="0" w:color="000000"/>
              <w:left w:val="single" w:sz="4" w:space="0" w:color="000000"/>
              <w:bottom w:val="single" w:sz="4" w:space="0" w:color="000000"/>
              <w:right w:val="single" w:sz="4" w:space="0" w:color="000000"/>
            </w:tcBorders>
          </w:tcPr>
          <w:p w14:paraId="612EBBE0" w14:textId="6A3EADDE"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612EBBE1" w14:textId="77777777" w:rsidR="00A40329" w:rsidRPr="00E24264" w:rsidRDefault="00A40329" w:rsidP="00E91821">
            <w:pPr>
              <w:tabs>
                <w:tab w:val="left" w:pos="404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định về cách thức lựa chọn các trường hợp tạm hoãn xuất cảnh, đối tượng tạm hoãn xuất cảnh, thông báo về việc tạm hoãn xuất cảnh theo khoản 1 mục V Phần II Quy trình quản lý nợ ban hành kèm theo Quyết định số 1129/QĐ-TCT ngày 20/7/2022 của Tổng cục trưởng Tổng cục Thuế không còn phù hợp với quy định tại khoản 9 Điều 6 Luật số 56/2024/QH15 ngày 29/11/2024, Nghị định số 49/2025/NĐ-CP ngày 28/02/2025 của Chính phủ quy định về ngưỡng áp dụng tạm hoãn xuất cảnh</w:t>
            </w:r>
          </w:p>
        </w:tc>
        <w:tc>
          <w:tcPr>
            <w:tcW w:w="3827" w:type="dxa"/>
            <w:tcBorders>
              <w:top w:val="single" w:sz="4" w:space="0" w:color="000000"/>
              <w:left w:val="single" w:sz="4" w:space="0" w:color="000000"/>
              <w:bottom w:val="single" w:sz="4" w:space="0" w:color="000000"/>
              <w:right w:val="single" w:sz="4" w:space="0" w:color="000000"/>
            </w:tcBorders>
          </w:tcPr>
          <w:p w14:paraId="612EBBE2" w14:textId="77777777"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Báo cáo Chính phủ xem xét, sửa đổi quy định về đối tượng áp dụng tại Nghị định số 49/2025/NĐ-CP ngày 28/2/2025 Quy định về Ngưỡng áp dụng tạm hoãn xuất cảnh phù hợp với đối tượng được quy định khoản 9 Điều 6 Luật 56/2024/QH15 ngày 29/11/2024. </w:t>
            </w:r>
          </w:p>
        </w:tc>
        <w:tc>
          <w:tcPr>
            <w:tcW w:w="2126" w:type="dxa"/>
            <w:tcBorders>
              <w:top w:val="single" w:sz="4" w:space="0" w:color="000000"/>
              <w:left w:val="single" w:sz="4" w:space="0" w:color="000000"/>
              <w:bottom w:val="single" w:sz="4" w:space="0" w:color="000000"/>
              <w:right w:val="single" w:sz="4" w:space="0" w:color="000000"/>
            </w:tcBorders>
          </w:tcPr>
          <w:p w14:paraId="612EBBE3" w14:textId="2C8459DF"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và Chuyên đề việc thực hiện các chính sách ưu đãi đầu tư tại Khu kinh tế, Khu công nghiệp giai đoạn 2022-2024 tại tỉnh Cà Mau</w:t>
            </w:r>
          </w:p>
        </w:tc>
      </w:tr>
      <w:tr w:rsidR="00A40329" w:rsidRPr="00E24264" w14:paraId="2A1F1AEF" w14:textId="77777777" w:rsidTr="00A40329">
        <w:trPr>
          <w:cantSplit/>
          <w:trHeight w:val="271"/>
        </w:trPr>
        <w:tc>
          <w:tcPr>
            <w:tcW w:w="559" w:type="dxa"/>
          </w:tcPr>
          <w:p w14:paraId="42186DD7" w14:textId="77777777" w:rsidR="00A40329" w:rsidRPr="00E24264" w:rsidRDefault="00A40329" w:rsidP="00F879D6">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E3AA746" w14:textId="6BDA8D66"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Chỉnh phủ</w:t>
            </w:r>
          </w:p>
        </w:tc>
        <w:tc>
          <w:tcPr>
            <w:tcW w:w="851" w:type="dxa"/>
          </w:tcPr>
          <w:p w14:paraId="6B2FFDEC" w14:textId="2E59824D"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số 165/2024/NĐ-CP ngày 26/12/2024</w:t>
            </w:r>
          </w:p>
        </w:tc>
        <w:tc>
          <w:tcPr>
            <w:tcW w:w="851" w:type="dxa"/>
            <w:tcBorders>
              <w:top w:val="single" w:sz="4" w:space="0" w:color="000000"/>
              <w:left w:val="single" w:sz="4" w:space="0" w:color="000000"/>
              <w:bottom w:val="single" w:sz="4" w:space="0" w:color="000000"/>
              <w:right w:val="single" w:sz="4" w:space="0" w:color="000000"/>
            </w:tcBorders>
          </w:tcPr>
          <w:p w14:paraId="2B2D2A3E" w14:textId="61F93A54" w:rsidR="00A40329" w:rsidRPr="00E24264" w:rsidRDefault="00A40329" w:rsidP="00F879D6">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7EBA4863" w14:textId="1D6B7DEC" w:rsidR="00A40329" w:rsidRPr="00E24264" w:rsidRDefault="00A40329" w:rsidP="00F879D6">
            <w:pPr>
              <w:tabs>
                <w:tab w:val="left" w:pos="404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số 165/2024/NĐ-CP có quy định trách nhiệm thanh tra của Bộ Xây dựng (Bộ GTVT), Cục ĐBVN (khoản 6 Điều 4, khoản 3 Điều 5, khoản 1 Điều 45). Tuy nhiên, hoạt động thanh tra tại Bộ Xây dựng đã kết thúc theo Kết luận số 134-KL/TW của Bộ Chính trị, Ban Bí thư, do vậy cần rà soát để điều chỉnh lại cho phù hợp.</w:t>
            </w:r>
          </w:p>
        </w:tc>
        <w:tc>
          <w:tcPr>
            <w:tcW w:w="3827" w:type="dxa"/>
            <w:tcBorders>
              <w:top w:val="single" w:sz="4" w:space="0" w:color="000000"/>
              <w:left w:val="single" w:sz="4" w:space="0" w:color="000000"/>
              <w:bottom w:val="single" w:sz="4" w:space="0" w:color="000000"/>
              <w:right w:val="single" w:sz="4" w:space="0" w:color="000000"/>
            </w:tcBorders>
          </w:tcPr>
          <w:p w14:paraId="4B780330" w14:textId="6C591027" w:rsidR="00A40329" w:rsidRPr="00E24264" w:rsidRDefault="00A40329" w:rsidP="00F879D6">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rà soát các nội dung quy định tại Nghị định số 165/2024/NĐ-CP về hoạt động thanh tra không còn phù hợp để báo cấp có thẩm quyền thực hiện sửa đổi, bổ sung.</w:t>
            </w:r>
          </w:p>
        </w:tc>
        <w:tc>
          <w:tcPr>
            <w:tcW w:w="2126" w:type="dxa"/>
            <w:tcBorders>
              <w:top w:val="single" w:sz="4" w:space="0" w:color="000000"/>
              <w:left w:val="single" w:sz="4" w:space="0" w:color="000000"/>
              <w:bottom w:val="single" w:sz="4" w:space="0" w:color="000000"/>
              <w:right w:val="single" w:sz="4" w:space="0" w:color="000000"/>
            </w:tcBorders>
          </w:tcPr>
          <w:p w14:paraId="561F20C7" w14:textId="64DC299B" w:rsidR="00A40329" w:rsidRPr="00E24264" w:rsidRDefault="00A40329" w:rsidP="00F879D6">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công tác quản lý, sử dụng kinh phí chi hoạt động kinh tế đường bộ giai đoạn 2023-2024 tại Bộ Xây dựng (Bộ Giao thông vận tải)</w:t>
            </w:r>
          </w:p>
        </w:tc>
      </w:tr>
      <w:tr w:rsidR="00A40329" w:rsidRPr="00E24264" w14:paraId="5D9CD76F" w14:textId="77777777" w:rsidTr="00A40329">
        <w:trPr>
          <w:cantSplit/>
          <w:trHeight w:val="271"/>
        </w:trPr>
        <w:tc>
          <w:tcPr>
            <w:tcW w:w="559" w:type="dxa"/>
          </w:tcPr>
          <w:p w14:paraId="3A766D04" w14:textId="77777777" w:rsidR="00A40329" w:rsidRPr="00E24264" w:rsidRDefault="00A40329" w:rsidP="00E91821">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C40FB5B" w14:textId="0DE46B37"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Nông nghiệp và Môi trường</w:t>
            </w:r>
          </w:p>
        </w:tc>
        <w:tc>
          <w:tcPr>
            <w:tcW w:w="851" w:type="dxa"/>
          </w:tcPr>
          <w:p w14:paraId="13F7C826" w14:textId="6C41ABB0"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định số 08/2022/NĐ-CP </w:t>
            </w:r>
            <w:r w:rsidRPr="00E24264">
              <w:rPr>
                <w:sz w:val="20"/>
                <w:szCs w:val="20"/>
              </w:rPr>
              <w:t xml:space="preserve"> </w:t>
            </w:r>
            <w:r w:rsidRPr="00E24264">
              <w:rPr>
                <w:rFonts w:ascii="Times New Roman" w:eastAsia="Times New Roman" w:hAnsi="Times New Roman" w:cs="Times New Roman"/>
                <w:sz w:val="20"/>
                <w:szCs w:val="20"/>
              </w:rPr>
              <w:t>ngày 10/01/2022</w:t>
            </w:r>
          </w:p>
        </w:tc>
        <w:tc>
          <w:tcPr>
            <w:tcW w:w="851" w:type="dxa"/>
            <w:tcBorders>
              <w:top w:val="single" w:sz="4" w:space="0" w:color="000000"/>
              <w:left w:val="single" w:sz="4" w:space="0" w:color="000000"/>
              <w:bottom w:val="single" w:sz="4" w:space="0" w:color="000000"/>
              <w:right w:val="single" w:sz="4" w:space="0" w:color="000000"/>
            </w:tcBorders>
          </w:tcPr>
          <w:p w14:paraId="23C61779" w14:textId="7DC472EA"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017F433E" w14:textId="5F02CE18" w:rsidR="00A40329" w:rsidRPr="00E24264" w:rsidRDefault="00A40329" w:rsidP="00E91821">
            <w:pPr>
              <w:tabs>
                <w:tab w:val="left" w:pos="404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Theo khoản 4 Điều 45 Nghị định số 08/2022/NĐ-CP, quy định về nhập khẩu phế liệu được </w:t>
            </w:r>
            <w:r w:rsidRPr="00E24264">
              <w:rPr>
                <w:rFonts w:ascii="Times New Roman" w:eastAsia="Times New Roman" w:hAnsi="Times New Roman" w:cs="Times New Roman"/>
                <w:i/>
                <w:iCs/>
                <w:sz w:val="20"/>
                <w:szCs w:val="20"/>
              </w:rPr>
              <w:t>loại trừ</w:t>
            </w:r>
            <w:r w:rsidRPr="00E24264">
              <w:rPr>
                <w:rFonts w:ascii="Times New Roman" w:eastAsia="Times New Roman" w:hAnsi="Times New Roman" w:cs="Times New Roman"/>
                <w:sz w:val="20"/>
                <w:szCs w:val="20"/>
              </w:rPr>
              <w:t xml:space="preserve"> </w:t>
            </w:r>
            <w:r w:rsidRPr="00E24264">
              <w:rPr>
                <w:rFonts w:ascii="Times New Roman" w:eastAsia="Times New Roman" w:hAnsi="Times New Roman" w:cs="Times New Roman"/>
                <w:i/>
                <w:iCs/>
                <w:sz w:val="20"/>
                <w:szCs w:val="20"/>
              </w:rPr>
              <w:t>đối với phế liệu phát sinh từ khu phi thuế quan, khu chế xuất, doanh nghiệp chế xuất</w:t>
            </w:r>
            <w:r w:rsidRPr="00E24264">
              <w:rPr>
                <w:rFonts w:ascii="Times New Roman" w:eastAsia="Times New Roman" w:hAnsi="Times New Roman" w:cs="Times New Roman"/>
                <w:sz w:val="20"/>
                <w:szCs w:val="20"/>
              </w:rPr>
              <w:t xml:space="preserve">. Trên thực tế, theo dữ liệu của cơ quan Hải quan cung cấp cho thấy các doanh nghiệp trong khu phi thuế quan, khu chế xuất, doanh nghiệp chế xuất có thực hiện nhập khẩu phế liệu làm nguyên liệu sản xuất (khối lượng đã nhập khẩu giai đoạn 2022-2024 là 13.280,31 tấn). Tuy nhiên trong quá trình sản xuất sẽ có vật liệu được thu hồi, phân loại, lựa chọn từ những vật liệu, sản phẩm loại ra trong quá trình hoạt động sản xuất, kinh doanh, dịch vụ hoặc tiêu dùng để sử dụng làm nguyên liệu cho một quá trình sản xuất khác được định nghĩa tại khoản 27 Điều 3 Luật BVMT là phế liệu, như vậy đối với các doanh nghiệp trong khu phi thuế quan, khu chế xuất, doanh nghiệp chế xuất khi bán phế liệu cho các doanh nghiệp ngoài khu chế xuất (có thể bao gồm phế liệu đã nhập khẩu chưa sử dụng hết) mà bên mua không cần đáp ứng quy định về doanh nghiệp nhập khẩu phế liệu làm nguyên liệu sản xuất theo quy định tại khoản 2 Điều 71 Luật BVMT. Như vậy quy định </w:t>
            </w:r>
            <w:r w:rsidRPr="00E24264">
              <w:rPr>
                <w:rFonts w:ascii="Times New Roman" w:eastAsia="Times New Roman" w:hAnsi="Times New Roman" w:cs="Times New Roman"/>
                <w:i/>
                <w:iCs/>
                <w:sz w:val="20"/>
                <w:szCs w:val="20"/>
              </w:rPr>
              <w:t>loại trừ</w:t>
            </w:r>
            <w:r w:rsidRPr="00E24264">
              <w:rPr>
                <w:rFonts w:ascii="Times New Roman" w:eastAsia="Times New Roman" w:hAnsi="Times New Roman" w:cs="Times New Roman"/>
                <w:sz w:val="20"/>
                <w:szCs w:val="20"/>
              </w:rPr>
              <w:t xml:space="preserve"> </w:t>
            </w:r>
            <w:r w:rsidRPr="00E24264">
              <w:rPr>
                <w:rFonts w:ascii="Times New Roman" w:eastAsia="Times New Roman" w:hAnsi="Times New Roman" w:cs="Times New Roman"/>
                <w:i/>
                <w:iCs/>
                <w:sz w:val="20"/>
                <w:szCs w:val="20"/>
              </w:rPr>
              <w:t>đối với phế liệu phát sinh từ khu phi thuế quan, khu chế xuất, doanh nghiệp chế xuất</w:t>
            </w:r>
            <w:r w:rsidRPr="00E24264">
              <w:rPr>
                <w:rFonts w:ascii="Times New Roman" w:eastAsia="Times New Roman" w:hAnsi="Times New Roman" w:cs="Times New Roman"/>
                <w:sz w:val="20"/>
                <w:szCs w:val="20"/>
              </w:rPr>
              <w:t xml:space="preserve"> dễ dẫn đến rủi ro trong hoạt kiểm soát của cơ quan hải quan đối với hoạt động nhập khẩu phế liệu làm nguyên liệu sản xuất trong nước.</w:t>
            </w:r>
          </w:p>
        </w:tc>
        <w:tc>
          <w:tcPr>
            <w:tcW w:w="3827" w:type="dxa"/>
            <w:tcBorders>
              <w:top w:val="single" w:sz="4" w:space="0" w:color="000000"/>
              <w:left w:val="single" w:sz="4" w:space="0" w:color="000000"/>
              <w:bottom w:val="single" w:sz="4" w:space="0" w:color="000000"/>
              <w:right w:val="single" w:sz="4" w:space="0" w:color="000000"/>
            </w:tcBorders>
          </w:tcPr>
          <w:p w14:paraId="0A43638A" w14:textId="09A968EE"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Chủ trì tham mưu sửa đổi Nghị định số 08/2022/NĐ-CP ngày 10/01/2022 quy định chi tiết một số điều của Luật bảo vệ môi trường, cụ thể: Tại khoản 4 Điều 45, bỏ quy định “</w:t>
            </w:r>
            <w:r w:rsidRPr="00E24264">
              <w:rPr>
                <w:rFonts w:ascii="Times New Roman" w:eastAsia="Times New Roman" w:hAnsi="Times New Roman" w:cs="Times New Roman"/>
                <w:i/>
                <w:iCs/>
                <w:sz w:val="20"/>
                <w:szCs w:val="20"/>
              </w:rPr>
              <w:t>trừ trường hợp nhập khẩu phế liệu phát sinh từ hoạt động của khu phi thuế quan, khu chế xuất, doanh nghiệp chế xuất</w:t>
            </w:r>
            <w:r w:rsidRPr="00E24264">
              <w:rPr>
                <w:rFonts w:ascii="Times New Roman" w:eastAsia="Times New Roman" w:hAnsi="Times New Roman" w:cs="Times New Roman"/>
                <w:sz w:val="20"/>
                <w:szCs w:val="20"/>
              </w:rPr>
              <w:t>” để phù hợp thực tế phát sinh, giảm thiểu rủi ro trong hoạt động nhập khẩu phế liệu làm nguyên liệu sản xuất.</w:t>
            </w:r>
          </w:p>
        </w:tc>
        <w:tc>
          <w:tcPr>
            <w:tcW w:w="2126" w:type="dxa"/>
            <w:tcBorders>
              <w:top w:val="single" w:sz="4" w:space="0" w:color="000000"/>
              <w:left w:val="single" w:sz="4" w:space="0" w:color="000000"/>
              <w:bottom w:val="single" w:sz="4" w:space="0" w:color="000000"/>
              <w:right w:val="single" w:sz="4" w:space="0" w:color="000000"/>
            </w:tcBorders>
          </w:tcPr>
          <w:p w14:paraId="564E5995" w14:textId="25F06557"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Công tác quản lý, bảo vệ môi trường đối với các cơ sở nhập khẩu phế liệu từ nước ngoài làm nguyên liệu sản xuất giai đoạn 2022 - 2024</w:t>
            </w:r>
          </w:p>
        </w:tc>
      </w:tr>
      <w:tr w:rsidR="00A40329" w:rsidRPr="00E24264" w14:paraId="612EBBF0" w14:textId="77777777" w:rsidTr="00A40329">
        <w:trPr>
          <w:cantSplit/>
          <w:trHeight w:val="68"/>
        </w:trPr>
        <w:tc>
          <w:tcPr>
            <w:tcW w:w="559" w:type="dxa"/>
          </w:tcPr>
          <w:p w14:paraId="612EBBE7" w14:textId="77777777" w:rsidR="00A40329" w:rsidRPr="00E24264" w:rsidRDefault="00A40329" w:rsidP="00E91821">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BE8" w14:textId="77777777"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Chính phủ</w:t>
            </w:r>
          </w:p>
        </w:tc>
        <w:tc>
          <w:tcPr>
            <w:tcW w:w="851" w:type="dxa"/>
          </w:tcPr>
          <w:p w14:paraId="612EBBE9" w14:textId="77777777"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 định</w:t>
            </w:r>
          </w:p>
        </w:tc>
        <w:tc>
          <w:tcPr>
            <w:tcW w:w="851" w:type="dxa"/>
            <w:tcBorders>
              <w:top w:val="single" w:sz="4" w:space="0" w:color="000000"/>
              <w:left w:val="single" w:sz="4" w:space="0" w:color="000000"/>
              <w:bottom w:val="single" w:sz="4" w:space="0" w:color="000000"/>
              <w:right w:val="single" w:sz="4" w:space="0" w:color="000000"/>
            </w:tcBorders>
          </w:tcPr>
          <w:p w14:paraId="612EBBEA" w14:textId="49A6589A" w:rsidR="00A40329" w:rsidRPr="00E24264" w:rsidRDefault="00A40329" w:rsidP="00E91821">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612EBBEB" w14:textId="12C2776A" w:rsidR="00A40329" w:rsidRPr="00E24264" w:rsidRDefault="00A40329" w:rsidP="00E91821">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Điểm a khoản 6 Điều 7 Nghị định 35/2022/NĐ-CP quy định “</w:t>
            </w:r>
            <w:r w:rsidRPr="00E24264">
              <w:rPr>
                <w:rFonts w:ascii="Times New Roman" w:eastAsia="Times New Roman" w:hAnsi="Times New Roman" w:cs="Times New Roman"/>
                <w:i/>
                <w:iCs/>
                <w:sz w:val="20"/>
                <w:szCs w:val="20"/>
              </w:rPr>
              <w:t>trừ trường hợp lập quy hoạch xây dựng KCN tại khu vực đã có quy hoạch chung xây dựng được phê duyệt hoặc khu công nghiệp phù hợp với quy hoạch chung xây dựng khu kinh tế đã được phê duyệt thì mới phải lấy ý của các Bộ liên quan đối với đồ án quy hoạch chung xây dựng hoặc đồ án quy hoạch phân khu xây dựng khu công nghiệp…Bộ Kế hoạch và Đầu tư và Bộ Xây dựng đối với khu công nghiệp có quy mô 200ha trở lên</w:t>
            </w:r>
            <w:r w:rsidRPr="00E24264">
              <w:rPr>
                <w:rFonts w:ascii="Times New Roman" w:eastAsia="Times New Roman" w:hAnsi="Times New Roman" w:cs="Times New Roman"/>
                <w:sz w:val="20"/>
                <w:szCs w:val="20"/>
              </w:rPr>
              <w:t>”. Tuy nhiên quy định tại điểm a khoản 2 Điều 25 Nghị định 44/2015/NĐ-CP ngày 06/05/2015 quy định “</w:t>
            </w:r>
            <w:r w:rsidRPr="00E24264">
              <w:rPr>
                <w:rFonts w:ascii="Times New Roman" w:eastAsia="Times New Roman" w:hAnsi="Times New Roman" w:cs="Times New Roman"/>
                <w:i/>
                <w:iCs/>
                <w:sz w:val="20"/>
                <w:szCs w:val="20"/>
              </w:rPr>
              <w:t xml:space="preserve">Ủy ban nhân dân cấp tỉnh có trách nhiệm lấy ý kiến thống nhất bằng văn bản của Bộ Xây dựng trước khi phê duyệt đối với các đồ án quy hoạch chung xây dựng khu chức năng đặc thù; các đồ án quy </w:t>
            </w:r>
            <w:r w:rsidRPr="00E24264">
              <w:rPr>
                <w:rFonts w:ascii="Times New Roman" w:eastAsia="Times New Roman" w:hAnsi="Times New Roman" w:cs="Times New Roman"/>
                <w:i/>
                <w:iCs/>
                <w:sz w:val="20"/>
                <w:szCs w:val="20"/>
              </w:rPr>
              <w:lastRenderedPageBreak/>
              <w:t>hoạch phân khu xây dựng khu chức năng đặc thù có quy mô trên 200 ha</w:t>
            </w:r>
            <w:r w:rsidRPr="00E24264">
              <w:rPr>
                <w:rFonts w:ascii="Times New Roman" w:eastAsia="Times New Roman" w:hAnsi="Times New Roman" w:cs="Times New Roman"/>
                <w:sz w:val="20"/>
                <w:szCs w:val="20"/>
              </w:rPr>
              <w:t>” nhưng không có hướng dẫn xử lý chuyển tiếp.</w:t>
            </w:r>
          </w:p>
        </w:tc>
        <w:tc>
          <w:tcPr>
            <w:tcW w:w="3827" w:type="dxa"/>
            <w:tcBorders>
              <w:top w:val="single" w:sz="4" w:space="0" w:color="000000"/>
              <w:left w:val="single" w:sz="4" w:space="0" w:color="000000"/>
              <w:bottom w:val="single" w:sz="4" w:space="0" w:color="000000"/>
              <w:right w:val="single" w:sz="4" w:space="0" w:color="000000"/>
            </w:tcBorders>
          </w:tcPr>
          <w:p w14:paraId="612EBBEC" w14:textId="57C8421C"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Xem xét quy định thống nhất việc lấy ý kiến các cơ quan có thẩm quyền trước khi phê duyệt đồ án quy hoạch chung xây dựng khu chức năng đặc thù có quy mô trên 200ha hiện chưa thống nhất giữa quy định tại khoản 6 Điều 7 Nghị định 35/2022/NĐ-CP và điểm a, khoản 2 Điều 22 Nghị định 44/2015/NĐ-CP.</w:t>
            </w:r>
          </w:p>
        </w:tc>
        <w:tc>
          <w:tcPr>
            <w:tcW w:w="2126" w:type="dxa"/>
            <w:tcBorders>
              <w:top w:val="single" w:sz="4" w:space="0" w:color="000000"/>
              <w:left w:val="single" w:sz="4" w:space="0" w:color="000000"/>
              <w:bottom w:val="single" w:sz="4" w:space="0" w:color="000000"/>
              <w:right w:val="single" w:sz="4" w:space="0" w:color="000000"/>
            </w:tcBorders>
          </w:tcPr>
          <w:p w14:paraId="612EBBED" w14:textId="77777777" w:rsidR="00A40329" w:rsidRPr="00E24264" w:rsidRDefault="00A40329" w:rsidP="00E91821">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thực hiện chính sách ưu đãi đầu tư tại khu kinh tế, khu công nghiệp giai đoạn 2022-2024 tại thành phố Hải Phòng</w:t>
            </w:r>
          </w:p>
        </w:tc>
      </w:tr>
      <w:tr w:rsidR="00A40329" w:rsidRPr="00E24264" w14:paraId="564FBA97" w14:textId="77777777" w:rsidTr="00A40329">
        <w:trPr>
          <w:cantSplit/>
          <w:trHeight w:val="68"/>
        </w:trPr>
        <w:tc>
          <w:tcPr>
            <w:tcW w:w="559" w:type="dxa"/>
          </w:tcPr>
          <w:p w14:paraId="4BAEECD0"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0BFB3EB" w14:textId="3946E99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2565F55F" w14:textId="2852004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số 100/2015/NĐ-CP ngày 20/10/2015</w:t>
            </w:r>
          </w:p>
        </w:tc>
        <w:tc>
          <w:tcPr>
            <w:tcW w:w="851" w:type="dxa"/>
            <w:tcBorders>
              <w:top w:val="single" w:sz="4" w:space="0" w:color="000000"/>
              <w:left w:val="single" w:sz="4" w:space="0" w:color="000000"/>
              <w:bottom w:val="single" w:sz="4" w:space="0" w:color="000000"/>
              <w:right w:val="single" w:sz="4" w:space="0" w:color="000000"/>
            </w:tcBorders>
          </w:tcPr>
          <w:p w14:paraId="5382FD6D" w14:textId="75E71CE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3D5EA941"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Về Nghị định số 100/2015/NĐ-CP ngày 20/10/2015 của Chính phủ quy định chi tiết một số điều của Luật Nhà ở về phát triển và quản lý NOXH:</w:t>
            </w:r>
          </w:p>
          <w:p w14:paraId="73900883"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 Tại Điều 5 về Quỹ đất để phát triển NOXH đối với các dự án phát triển nhà ở thương mại, dự án đầu tư phát triển đô thị chỉ quy định trường hợp nhà nước thu hồi quỹ đất 20% để đầu tư xây dựng NOXH bằng nguồn vốn NSNN, không quy định và hướng dẫn việc chủ đầu tư bàn giao quỹ đất 20% cho Nhà nước do không có nhu cầu đầu tư dự án NOXH, dẫn đến không có quy định và hướng dẫn xử lý chi phí đầu tư xây dựng hạ tầng kỹ thuật và các khoản chi phí hợp lý khác theo quy định của pháp luật mà chủ đầu tư đã thực hiện đối với quỹ đất 20% NOXH bàn giao cho Nhà nước nhưng Nhà nước tổ chức đấu thầu lựa chọn nhà đầu tư thực hiện dự án NOXH bằng nguồn vốn ngoài NSNN. Do vậy, hiện tại tỉnh Đồng Nai đang gặp vướng mắc trong việc hoàn trả khoản chi phí này cho chủ đầu tư do Luật Nhà ở 2023 và Nghị định số 100/2024/NĐ-CP không còn quy định việc chủ đầu tư bàn giao quỹ đất 20% cho nhà nước do không có nhu cầu đầu tư dự án NOXH.</w:t>
            </w:r>
          </w:p>
          <w:p w14:paraId="77A38AFD"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Chưa có chế tài xử lý đối với các trường hợp chủ đầu tư được giao đất thực hiện dự án NOXH, NOCN giai đoạn trước Luật Đầu tư 2014 không có chủ trương đầu tư, không có cơ chế ràng buộc nên chỉ ưu tiên triển khai dự án nhà ở thương mại mà không triển khai thực hiện dự án NOXH trong quỹ đất 20% làm NOXH trong dự án nhà ở thương mại hoặc được giao đất nhưng không triển khai đầu tư xây dựng, trong khi diện tích đất được giao làm NOXH đã được nhà nước miễn tiền sử dụng đất, tiền thuê đất.</w:t>
            </w:r>
          </w:p>
          <w:p w14:paraId="6341161D" w14:textId="77777777" w:rsidR="00A40329" w:rsidRPr="00E24264" w:rsidRDefault="00A40329" w:rsidP="001E065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3F9272E7" w14:textId="77777777" w:rsidR="00A40329" w:rsidRPr="00E24264" w:rsidRDefault="00A40329" w:rsidP="001E0652">
            <w:pPr>
              <w:spacing w:after="0" w:line="240" w:lineRule="auto"/>
              <w:jc w:val="both"/>
              <w:rPr>
                <w:rFonts w:ascii="Times New Roman" w:eastAsia="Times New Roman" w:hAnsi="Times New Roman" w:cs="Times New Roman"/>
                <w:spacing w:val="-2"/>
                <w:sz w:val="20"/>
                <w:szCs w:val="20"/>
              </w:rPr>
            </w:pPr>
            <w:r w:rsidRPr="00E24264">
              <w:rPr>
                <w:rFonts w:ascii="Times New Roman" w:eastAsia="Times New Roman" w:hAnsi="Times New Roman" w:cs="Times New Roman"/>
                <w:spacing w:val="-2"/>
                <w:sz w:val="20"/>
                <w:szCs w:val="20"/>
              </w:rPr>
              <w:t>(1) Hướng dẫn việc hoàn trả kinh phí đầu tư hạ tầng kỹ thuật quỹ đất 20% NOXH tại các dự án nhà thương mại bàn giao lại nhà nước nhưng nhà nước không đầu tư dự án NOXH bằng nguồn vốn NSNN giai đoạn 2024 trở về trước do Nghị định số 100/2015/NĐ-CP và Nghị định số 49/2021/NĐ-CP của Chính phủ chưa quy định nội dung này.</w:t>
            </w:r>
          </w:p>
          <w:p w14:paraId="52FA365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4049A33" w14:textId="0CC44926"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Đồng Nai và các Chuyên đề lồng ghép</w:t>
            </w:r>
          </w:p>
        </w:tc>
      </w:tr>
      <w:tr w:rsidR="00A40329" w:rsidRPr="00E24264" w14:paraId="612EBC09" w14:textId="77777777" w:rsidTr="00A40329">
        <w:trPr>
          <w:cantSplit/>
          <w:trHeight w:val="68"/>
        </w:trPr>
        <w:tc>
          <w:tcPr>
            <w:tcW w:w="559" w:type="dxa"/>
          </w:tcPr>
          <w:p w14:paraId="612EBBF1"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BF2" w14:textId="2C6BCA9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BF3" w14:textId="49E3AD2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số 100/2024/NĐ-CP ngày 26/7/2024</w:t>
            </w:r>
          </w:p>
        </w:tc>
        <w:tc>
          <w:tcPr>
            <w:tcW w:w="851" w:type="dxa"/>
            <w:tcBorders>
              <w:top w:val="single" w:sz="4" w:space="0" w:color="000000"/>
              <w:left w:val="single" w:sz="4" w:space="0" w:color="000000"/>
              <w:bottom w:val="single" w:sz="4" w:space="0" w:color="000000"/>
              <w:right w:val="single" w:sz="4" w:space="0" w:color="000000"/>
            </w:tcBorders>
          </w:tcPr>
          <w:p w14:paraId="612EBBF4" w14:textId="48A7A0F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799438FC" w14:textId="38C01E7E"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(2)  Về Nghị định số 100/2024/NĐ-CP ngày 26/7/2024 của Chính phủ quy định chi tiết một số điều của Luật Nhà ở về phát triển và quản lý NOXH:</w:t>
            </w:r>
          </w:p>
          <w:p w14:paraId="465B24F7"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Các quy định về chi phí đầu tư, phương án tính giá bán, thuê mua NOXH đầu tư bằng nguồn vốn ngoài NSNN (được đầu tư xây dựng không bằng vốn đầu tư công, nguồn tài chính công đoàn) tại các Điều 32, 33 Mục 6 còn bất cập như: Tại khoản 2 Điều 32 và khoản 2 Điều 33 quy định giá bán, thuê mua NOXH được xác định trên cơ sở tổng chi phí đầu tư xây dựng (đã bao gồm thuế giá trị gia tăng) là chưa phù hợp do việc bán, thuê mua NOXH thuộc đối tượng chịu thuế GTGT theo quy định của Luật thuế GTGT nên thuế GTGT của chi </w:t>
            </w:r>
            <w:r w:rsidRPr="00E24264">
              <w:rPr>
                <w:rFonts w:ascii="Times New Roman" w:eastAsia="Times New Roman" w:hAnsi="Times New Roman" w:cs="Times New Roman"/>
                <w:sz w:val="20"/>
                <w:szCs w:val="20"/>
              </w:rPr>
              <w:lastRenderedPageBreak/>
              <w:t>phí đầu tư xây dựng được kê khai khấu trừ. Từ đó dẫn đến lợi nhuận định mức được xác định bằng tỷ lệ định mức nhân với tổng chi phí tổng chi phí đầu tư xây dựng (đã bao gồm thuế GTGT) là chưa phù hợp.</w:t>
            </w:r>
          </w:p>
          <w:p w14:paraId="31A5F6AA"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Điều 30. Điều kiện về thu nhập: </w:t>
            </w:r>
          </w:p>
          <w:p w14:paraId="46F4B6EB"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Khoản 1: Quy định trường hợp người đứng đơn đã kết hôn theo quy định của pháp luật thì người đứng đơn và vợ (chồng) của người đó có tổng thu nhập hàng tháng thực nhận không quá 30 tr.đồng tính theo Bảng tiền công, tiền lương do cơ quan, đơn vị, doanh nghiệp nơi đối tượng làm việc xác nhận, không quy định phải kê khai và xác minh thu nhập của cả hai vợ chồng.</w:t>
            </w:r>
          </w:p>
          <w:p w14:paraId="351A2313"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Khoản 2: Trường hợp đối tượng quy định tại khoản 5 Điều 76 của Luật Nhà ở năm 2023 không có Hợp đồng lao động… Trong thời hạn 07 ngày, kể từ ngày nhận được đơn đề nghị xác nhận, UBND cấp xã thực hiện việc xác nhận điều kiện về thu nhập. Tuy nhiên, thực tế UBND cấp xã không có đủ thông tin về thu nhập của lao động tự do để xác nhận. </w:t>
            </w:r>
          </w:p>
          <w:p w14:paraId="612EBBFD" w14:textId="46C0513D"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Điều 31 Xác định giá thuê, giá thuê mua nhà ở xã hội do Nhà nước đầu tư xây dựng bằng vốn đầu tư công, nguồn tài chính công đoàn. Tại khoản 1 có quy định số năm thu hồi vốn đầu tư của dự án do người quyết định đầu tư quyết định nhưng tối thiểu 20 năm là chưa phù hợp với quy định về thời gian trích khấu hao tài sản cố định nhà cửa loại kiên cố "tối thiểu 25 năm, tối đa 50 năm" tại Phụ lục I Khung thời gian trích khấu hao các loại tài sản cố định ban hành kèm theo Thông tư số 45/2013/TT-BTC ngày 25/04/2013 của Bộ Tài chính và không phù hợp với thời gian giao đất dự án xây dựng nhà ở xã hội (thường 50 năm). Việc thu hồi vốn trong thời gian 20 năm là làm tăng giá cho thuê NOXH do chi phí đầu tư được phân bổ trong đơn giá cao, trong khi xây dựng NOXH cho thuê là giải pháp phù hợp với thu nhập của các đối tượng NOXH.</w:t>
            </w:r>
          </w:p>
        </w:tc>
        <w:tc>
          <w:tcPr>
            <w:tcW w:w="3827" w:type="dxa"/>
            <w:tcBorders>
              <w:top w:val="single" w:sz="4" w:space="0" w:color="000000"/>
              <w:left w:val="single" w:sz="4" w:space="0" w:color="000000"/>
              <w:bottom w:val="single" w:sz="4" w:space="0" w:color="000000"/>
              <w:right w:val="single" w:sz="4" w:space="0" w:color="000000"/>
            </w:tcBorders>
          </w:tcPr>
          <w:p w14:paraId="63AB4A01" w14:textId="05D7B6F4"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 (2) Rà soát, tham mưu Chính phủ một số nội dung quy định tại Nghị định số 100/2024/NĐ-CP ngày 26/7/2024 của Chính phủ quy định chi tiết một số điều của Luật Nhà ở về phát triển và quản lý NOXH để phù hợp với các quy định khác của Nhà nước và tình hình triển khai thực tế tại địa phương, như sau: </w:t>
            </w:r>
          </w:p>
          <w:p w14:paraId="3D42FB27"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Điều chỉnh thời gian thu hồi vốn đầu tư tối thiểu đối với NOXH cho thuê 20 năm quy định tại Điều 31 cho phù hợp với quy định về </w:t>
            </w:r>
            <w:r w:rsidRPr="00E24264">
              <w:rPr>
                <w:rFonts w:ascii="Times New Roman" w:eastAsia="Times New Roman" w:hAnsi="Times New Roman" w:cs="Times New Roman"/>
                <w:sz w:val="20"/>
                <w:szCs w:val="20"/>
              </w:rPr>
              <w:lastRenderedPageBreak/>
              <w:t xml:space="preserve">khung khấu hao tài sản cố định nhà cửa loại kiên cố tối thiểu 25 năm, tối đa 50 năm tại Phụ lục I Thông tư số 45/2013/TT-BTC ngày 25/4/2013 của Bộ Tài chính hướng dẫn chế độ quản lý, sử dụng và trích khấu hao tài sản cố định và thời gian giao đất, cho thuê đất để thực hiện các dự án đầu tư có sử dụng đất không quá 50 năm tại khoản 1 Điều 172 Luật Đất đai 2024 nhằm làm giảm giá cho thuê NOXH, phù hợp khả năng của người có nhu cầu thuê nhà, khi thuê NOXH để ở là giải pháp phù hợp với thu nhập của các đối tượng NOXH. </w:t>
            </w:r>
          </w:p>
          <w:p w14:paraId="4DA9EB7F"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Bổ sung quy định ràng buộc trách nhiệm chủ đầu tư đối với việc xây dựng NOXH trên quỹ đất 20% (trường hợp chủ đầu tư phải xây dựng) nhằm khắc phục tình trạng chủ đầu tư chỉ tập trung đầu tư xây dựng nhà ở thương mại, chậm trễ, kéo dài đối với việc xây dựng NOXH …</w:t>
            </w:r>
          </w:p>
          <w:p w14:paraId="0ABC494C"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Xem xét điều chỉnh các quy định về chi phí đầu tư, phương án tính giá bán, thuê mua NOXH đầu tư bằng nguồn vốn ngoài NSNN tại các Điều 32, 33 Mục 6 theo hướng như sau: </w:t>
            </w:r>
          </w:p>
          <w:p w14:paraId="74549A22"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Tổng chi phí đầu tư xây dựng NOXH không bao gồm thuế giá trị gia tăng mua vào; </w:t>
            </w:r>
          </w:p>
          <w:p w14:paraId="6CAA0D06"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Yếu tố lợi nhuận định mức của dự án NOXH được xác định theo tổng chi phí đầu tư xây dựng không bao gồm thuế giá trị gia tăng mua vào;</w:t>
            </w:r>
          </w:p>
          <w:p w14:paraId="612EBC05" w14:textId="52C296FD"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định về điều kiện về thu nhập: cần phải kê khai, xác minh thu nhập của cả vợ, chồng khi đăng ký mua, thuê mua NOXH;</w:t>
            </w:r>
          </w:p>
        </w:tc>
        <w:tc>
          <w:tcPr>
            <w:tcW w:w="2126" w:type="dxa"/>
            <w:tcBorders>
              <w:top w:val="single" w:sz="4" w:space="0" w:color="000000"/>
              <w:left w:val="single" w:sz="4" w:space="0" w:color="000000"/>
              <w:bottom w:val="single" w:sz="4" w:space="0" w:color="000000"/>
              <w:right w:val="single" w:sz="4" w:space="0" w:color="000000"/>
            </w:tcBorders>
          </w:tcPr>
          <w:p w14:paraId="612EBC06" w14:textId="15A196F0"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Ngân sách địa phương năm 2024 của tỉnh Đồng Nai và các Chuyên đề lồng ghép</w:t>
            </w:r>
          </w:p>
        </w:tc>
      </w:tr>
      <w:tr w:rsidR="00A40329" w:rsidRPr="00E24264" w14:paraId="612EBC13" w14:textId="77777777" w:rsidTr="00A40329">
        <w:trPr>
          <w:cantSplit/>
          <w:trHeight w:val="68"/>
        </w:trPr>
        <w:tc>
          <w:tcPr>
            <w:tcW w:w="559" w:type="dxa"/>
          </w:tcPr>
          <w:p w14:paraId="612EBC0A"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C0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Nội vụ</w:t>
            </w:r>
          </w:p>
        </w:tc>
        <w:tc>
          <w:tcPr>
            <w:tcW w:w="851" w:type="dxa"/>
          </w:tcPr>
          <w:p w14:paraId="612EBC0C" w14:textId="2E04F54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định 120/2020/NĐ-CP </w:t>
            </w:r>
            <w:r w:rsidRPr="00E24264">
              <w:rPr>
                <w:sz w:val="20"/>
                <w:szCs w:val="20"/>
              </w:rPr>
              <w:t xml:space="preserve"> </w:t>
            </w:r>
            <w:r w:rsidRPr="00E24264">
              <w:rPr>
                <w:rFonts w:ascii="Times New Roman" w:eastAsia="Times New Roman" w:hAnsi="Times New Roman" w:cs="Times New Roman"/>
                <w:sz w:val="20"/>
                <w:szCs w:val="20"/>
              </w:rPr>
              <w:t xml:space="preserve">ngày </w:t>
            </w:r>
            <w:r w:rsidRPr="00E24264">
              <w:rPr>
                <w:rFonts w:ascii="Times New Roman" w:eastAsia="Times New Roman" w:hAnsi="Times New Roman" w:cs="Times New Roman"/>
                <w:sz w:val="20"/>
                <w:szCs w:val="20"/>
              </w:rPr>
              <w:lastRenderedPageBreak/>
              <w:t>07/10/2020</w:t>
            </w:r>
          </w:p>
        </w:tc>
        <w:tc>
          <w:tcPr>
            <w:tcW w:w="851" w:type="dxa"/>
            <w:tcBorders>
              <w:top w:val="single" w:sz="4" w:space="0" w:color="000000"/>
              <w:left w:val="single" w:sz="4" w:space="0" w:color="000000"/>
              <w:bottom w:val="single" w:sz="4" w:space="0" w:color="000000"/>
              <w:right w:val="single" w:sz="4" w:space="0" w:color="000000"/>
            </w:tcBorders>
          </w:tcPr>
          <w:p w14:paraId="612EBC0D" w14:textId="3CBCA00D"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612EBC0E" w14:textId="77777777" w:rsidR="00A40329" w:rsidRPr="00E24264" w:rsidRDefault="00A40329" w:rsidP="001E065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Theo Khoản 2 Điều 7 Nghị định số 120/2020/NĐ-CP ngày 07/10/2020 của Chính phủ về quy định về thành lập, tổ chức lại, giải thể đơn vị sự nghiệp công lập (do bộ Nội vụ chủ trì xây dựng) quy định “Đơn vị sự nghiệp công lập nhóm 1 được Nhà nước giao vốn, tài sản để thực hiện cung ứng dịch vụ sự nghiệp công theo quy định của pháp luật”. Đồng thời, tại khoản 2 Điều 23 Nghị định số 120/2020/NĐ-CP quy định Bộ Tài chính “hướng dẫn việc giao vốn, </w:t>
            </w:r>
            <w:r w:rsidRPr="00E24264">
              <w:rPr>
                <w:rFonts w:ascii="Times New Roman" w:eastAsia="Times New Roman" w:hAnsi="Times New Roman" w:cs="Times New Roman"/>
                <w:sz w:val="20"/>
                <w:szCs w:val="20"/>
              </w:rPr>
              <w:lastRenderedPageBreak/>
              <w:t>tài sản cho đơn vị sự nghiệp công lập để thực hiện cung ứng dịch vụ sự nghiệp công lập theo quy định của pháp luật”. Tuy nhiên, Luật Quản lý, sử dụng tài sản công năm 2017 và các văn bản hướng dẫn thi hành Luật đã bãi bỏ quy định về việc xác định giá trị tài sản để giao cho đơn vị sự nghiệp công lập quản lý theo cơ chế giao vốn cho doanh nghiệp tại Luật Quản lý, sử dụng tài sản nhà nước năm 2008 như Nghị định số 151/2017/NĐ-CP quy định chi tiết một số điều của Luật Quản lý, sử dụng tài sản công và Thông tư số 144/2017/TT-BTC hướng dẫn Nghị định số 151/2017/NĐ-CP (đã được sửa đổi, bổ sung bởi Thông tư 11/2025/TT-BTC) cũng không quy định về “giao vốn” mà sử dụng khái niệm “tài sản công” và các hình thức “giao tài sản” cho đơn vị sự nghiệp công lập. Đến nay, Bộ Tài chính chưa có hướng dẫn nội dung quy định tại khoản 2 Điều 7 Nghị định số 120/2020/NĐ-CP nêu trên.</w:t>
            </w:r>
          </w:p>
        </w:tc>
        <w:tc>
          <w:tcPr>
            <w:tcW w:w="3827" w:type="dxa"/>
            <w:tcBorders>
              <w:top w:val="single" w:sz="4" w:space="0" w:color="000000"/>
              <w:left w:val="single" w:sz="4" w:space="0" w:color="000000"/>
              <w:bottom w:val="single" w:sz="4" w:space="0" w:color="000000"/>
              <w:right w:val="single" w:sz="4" w:space="0" w:color="000000"/>
            </w:tcBorders>
          </w:tcPr>
          <w:p w14:paraId="612EBC0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Kiến nghị Bộ Nội vụ: Rà soát, xem xét tham mưu sửa đổi khoản 2 Điều 7 Nghị định số 120/2020/NĐ-CP về thành lập, tổ chức lại, giải thể đơn vị sự nghiệp công lập, cụ thể loại bỏ hoặc điều chỉnh cụm từ "giao vốn" trong quy định tại khoản 2 Điều 7 Nghị định số 120/2020/NĐ-CP “được Nhà nước giao vốn, </w:t>
            </w:r>
            <w:r w:rsidRPr="00E24264">
              <w:rPr>
                <w:rFonts w:ascii="Times New Roman" w:eastAsia="Times New Roman" w:hAnsi="Times New Roman" w:cs="Times New Roman"/>
                <w:sz w:val="20"/>
                <w:szCs w:val="20"/>
              </w:rPr>
              <w:lastRenderedPageBreak/>
              <w:t>tài sản để thực hiện cung ứng dịch vụ sự nghiệp công”, đảm bảo phù hợp và nhất quán với Luật Quản lý, sử dụng tài sản công năm 2017 để tháo gỡ vướng mắc trong việc thành lập Hội đồng quản lý tại các đơn vị sự nghiệp công lập nhóm 1.</w:t>
            </w:r>
          </w:p>
        </w:tc>
        <w:tc>
          <w:tcPr>
            <w:tcW w:w="2126" w:type="dxa"/>
            <w:tcBorders>
              <w:top w:val="single" w:sz="4" w:space="0" w:color="000000"/>
              <w:left w:val="single" w:sz="4" w:space="0" w:color="000000"/>
              <w:bottom w:val="single" w:sz="4" w:space="0" w:color="000000"/>
              <w:right w:val="single" w:sz="4" w:space="0" w:color="000000"/>
            </w:tcBorders>
          </w:tcPr>
          <w:p w14:paraId="612EBC1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Ngân sách địa phương và Báo cáo quyết toán NSĐP năm 2024 của Thành phố Hồ Chí Minh</w:t>
            </w:r>
          </w:p>
        </w:tc>
      </w:tr>
      <w:tr w:rsidR="00A40329" w:rsidRPr="00E24264" w14:paraId="612EBC20" w14:textId="77777777" w:rsidTr="00A40329">
        <w:trPr>
          <w:cantSplit/>
          <w:trHeight w:val="68"/>
        </w:trPr>
        <w:tc>
          <w:tcPr>
            <w:tcW w:w="559" w:type="dxa"/>
          </w:tcPr>
          <w:p w14:paraId="612EBC14"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C1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Thủ tướng Chính phủ</w:t>
            </w:r>
          </w:p>
        </w:tc>
        <w:tc>
          <w:tcPr>
            <w:tcW w:w="851" w:type="dxa"/>
          </w:tcPr>
          <w:p w14:paraId="612EBC16" w14:textId="0D93B6D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định 71/2024/NĐ-CP </w:t>
            </w:r>
            <w:r w:rsidRPr="00E24264">
              <w:rPr>
                <w:sz w:val="20"/>
                <w:szCs w:val="20"/>
              </w:rPr>
              <w:t xml:space="preserve"> </w:t>
            </w:r>
            <w:r w:rsidRPr="00E24264">
              <w:rPr>
                <w:rFonts w:ascii="Times New Roman" w:eastAsia="Times New Roman" w:hAnsi="Times New Roman" w:cs="Times New Roman"/>
                <w:sz w:val="20"/>
                <w:szCs w:val="20"/>
              </w:rPr>
              <w:t>ngày 27/6/2024</w:t>
            </w:r>
          </w:p>
        </w:tc>
        <w:tc>
          <w:tcPr>
            <w:tcW w:w="851" w:type="dxa"/>
            <w:tcBorders>
              <w:top w:val="single" w:sz="4" w:space="0" w:color="000000"/>
              <w:left w:val="single" w:sz="4" w:space="0" w:color="000000"/>
              <w:bottom w:val="single" w:sz="4" w:space="0" w:color="000000"/>
              <w:right w:val="single" w:sz="4" w:space="0" w:color="000000"/>
            </w:tcBorders>
          </w:tcPr>
          <w:p w14:paraId="612EBC17" w14:textId="6CB87BB5"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612EBC19" w14:textId="1A5D39B3"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4"/>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định 71/2024/NĐ-CP ngày 27/6/2024 của Chính phủ quy định về sử dụng phương pháp thặng dư để định giá đất còn có hạn chế như: (i) Các dự án đất đô thị do các Tập đoàn, doanh nghiệp có uy tín đầu tư thường có giá bán cao hơn các dự án khác, mà một trong những nguyên nhân chính là do ảnh hưởng bởi thương hiệu doanh nghiệp nhưng các văn bản hướng dẫn chưa có quy định về cách xác định doanh thu phát triển và chi phí phát triển với nội dung này; (ii) Khoản 2 Điều 4, không có quy định nguồn cung cấp thông tin bao gồm cả Cơ quan thuế, Văn phòng công chứng và UBND xã, phường nơi có dự án bất động sản, dễ dẫn đến việc thu thập thông tin về TSSS không đầy đủ, ảnh hưởng đến việc xác định giá đất; (iii) Chưa có quy định cụ thể về một số yếu tố ảnh hưởng quan trọng liên quan đến việc xác định giá đất như: quy mô, tính chất quy hoạch của khu đô thị, khu nhà ở có thửa đất cần định giá; yếu tố tiếp giáp với mặt thoáng, cây xanh, mặt nước, công viên... (iv) Không có quy định về việc phải thực hiện điều chỉnh mức giá của TSSS tại thời điểm giao dịch về thời điểm định giá, dẫn tới có nhiều trường hợp lựa chọn TSSS có thời điểm giao dịch cách xa thời điểm định giá (Luật Đất đai số 31/2024/QH15 cho phép lấy trong vòng 24 tháng kể từ thời điểm định giá đất trở về trước ), nhưng không thực hiện điều chỉnh mức giá giao dịch thành công về thời điểm định giá, làm ảnh hưởng đến tính phù hợp của giá đất cần định giá. (v) Tại điểm d khoản 2 Điều 6. Trình tự, nội dung xác định giá đất theo phương pháp thặng dư quy định về việc xác định mức biến động của giá chuyển nhượng, giá thuê đất, giá thuê mặt bằng, giá kinh doanh sản phẩm trong xác định Doanh thu phát triển “... căn cứ theo chỉ số giá tiêu dùng nhóm nhà ở và vật liệu xây dựng bình quân 03 năm liền kề trước thời điểm </w:t>
            </w:r>
            <w:r w:rsidRPr="00E24264">
              <w:rPr>
                <w:rFonts w:ascii="Times New Roman" w:eastAsia="Times New Roman" w:hAnsi="Times New Roman" w:cs="Times New Roman"/>
                <w:sz w:val="20"/>
                <w:szCs w:val="20"/>
              </w:rPr>
              <w:lastRenderedPageBreak/>
              <w:t>định giá đất...” mà chỉ số này chỉ đánh giá sự biến động của giá thuê nhà và vật liệu xây dựng (không phản ánh đúng mức độ biến động của giá đất) là không phù hợp; (vi) Tại điểm a khoản 3 Điều 4 quy định về thứ tự ưu tiên trong việc lựa chọn thông tin của các thửa đất so sánh: đặt “thời điểm” lên trước yêu cầu “tương đồng về các yếu tố ảnh hưởng đến giá đất” là không đảm bảo phù hợp do yếu tố tương đồng có ảnh hưởng quyết định nhiều hơn đến giá đất (trong nhiều trường hợp, quy định này sẽ là lý do để đơn vị Tư vấn lựa chọn TSSS không tương đồng). Các bất cập này xảy ra ở 12/12 dự án đất và có khả năng làm ảnh hưởng đến doanh thu phát triển và số phải nộp cho NSNN.</w:t>
            </w:r>
          </w:p>
        </w:tc>
        <w:tc>
          <w:tcPr>
            <w:tcW w:w="3827" w:type="dxa"/>
            <w:tcBorders>
              <w:top w:val="single" w:sz="4" w:space="0" w:color="000000"/>
              <w:left w:val="single" w:sz="4" w:space="0" w:color="000000"/>
              <w:bottom w:val="single" w:sz="4" w:space="0" w:color="000000"/>
              <w:right w:val="single" w:sz="4" w:space="0" w:color="000000"/>
            </w:tcBorders>
          </w:tcPr>
          <w:p w14:paraId="612EBC1B" w14:textId="0B6DFC6A"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Kính đề nghị Thủ tướng Chính phủ xem xét, chỉ đạo các bộ, cơ quan có liên quan nghiên cứu sửa đổi, bổ sung một số quy định tại Nghị định 71/2024/NĐ-CP ngày 27/6/2024 của Chính phủ quy định về giá đất (Điều 1 và Điều 7 Nghị định 226/2025/NĐ-CP ngày 15/8/2025 sửa đổi, bổ sung một số điều của các nghị định quy định chi tiết thi hành Luật Đất đai), để có thể khắc phục được những hạn chế, bất cập, vướng mắc phát hiện qua kiểm toán việc xác định giá đất tại các dự án trên địa bàn thành phố Hà Nội đối với các nội dung gồm: (i) Sửa Khoản 2, Điều 4 (bổ sung quy định nguồn cung cấp thông tin đầu vào để định giá đất bao gồm các Văn phòng công chứng và UBND xã, phường nơi có dự án bất động sản để đảm bảo mở rộng nguồn thông tin và hạn chế việc định hướng, khoanh vùng thông tin); (ii) Sửa Khoản 3, Điều 4 (sửa đổi quy định theo hướng đặt thứ tự ưu tiên là “tài sản tương đồng” lên trước yếu tố “khoảng cách” và “thời điểm” vì nhân tố này có ảnh hưởng quyết định đến giá đất); (iii) Bổ sung vào Điều 4 (quy định về việc phải thực hiện điều chỉnh mức giá của Tài sản so sánh tại thời điểm giao dịch về thời điểm định giá để đảm bảo giá đất được xác định phù hợp với </w:t>
            </w:r>
            <w:r w:rsidRPr="00E24264">
              <w:rPr>
                <w:rFonts w:ascii="Times New Roman" w:eastAsia="Times New Roman" w:hAnsi="Times New Roman" w:cs="Times New Roman"/>
                <w:sz w:val="20"/>
                <w:szCs w:val="20"/>
              </w:rPr>
              <w:lastRenderedPageBreak/>
              <w:t xml:space="preserve">tại điểm giao đất); (iv) Sửa Khoản 2, Điều 6 (sửa đổi, không quy định việc “xác định mức biến động của giá chuyển nhượng” theo “chỉ số giá tiêu dùng nhóm nhà ở, điện, nước và vật liệu xây dựng” do không phản ánh đúng mức độ biến động giá bất động sản; đề nghị nghiên cứu thay thế bằng chỉ số khác phù hợp hơn); (v) Sửa Điều 8 (quy định bổ sung một số yếu tố có ảnh hưởng quan trọng đến việc xác định giá đất như: quy mô, tính chất quy hoạch của khu đô thị, khu nhà ở nơi có thửa đất cần định giá; yếu tố tiếp giáp với mặt thoáng, cây xanh, mặt nước, công viên)...; </w:t>
            </w:r>
          </w:p>
          <w:p w14:paraId="612EBC1C" w14:textId="02EC0041" w:rsidR="00A40329" w:rsidRPr="00E24264" w:rsidRDefault="00A40329" w:rsidP="001E0652">
            <w:pPr>
              <w:spacing w:after="0" w:line="240" w:lineRule="auto"/>
              <w:jc w:val="both"/>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12EBC1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chấp hành các quy định pháp luật về quản lý, sử dụng đất trên địa bàn một số quận, huyện” thuộc thành phố Hà Nội</w:t>
            </w:r>
          </w:p>
        </w:tc>
      </w:tr>
      <w:tr w:rsidR="00A40329" w:rsidRPr="00E24264" w14:paraId="7F1E5E74" w14:textId="77777777" w:rsidTr="00A40329">
        <w:trPr>
          <w:cantSplit/>
          <w:trHeight w:val="68"/>
        </w:trPr>
        <w:tc>
          <w:tcPr>
            <w:tcW w:w="559" w:type="dxa"/>
          </w:tcPr>
          <w:p w14:paraId="36D31306"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A8D8F57" w14:textId="2D4D74E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Thủ tướng Chính phủ</w:t>
            </w:r>
          </w:p>
        </w:tc>
        <w:tc>
          <w:tcPr>
            <w:tcW w:w="851" w:type="dxa"/>
          </w:tcPr>
          <w:p w14:paraId="03C0E55C" w14:textId="2CA961F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102/2024/NĐ-CP ngày 30/7/2024</w:t>
            </w:r>
          </w:p>
        </w:tc>
        <w:tc>
          <w:tcPr>
            <w:tcW w:w="851" w:type="dxa"/>
            <w:tcBorders>
              <w:top w:val="single" w:sz="4" w:space="0" w:color="000000"/>
              <w:left w:val="single" w:sz="4" w:space="0" w:color="000000"/>
              <w:bottom w:val="single" w:sz="4" w:space="0" w:color="000000"/>
              <w:right w:val="single" w:sz="4" w:space="0" w:color="000000"/>
            </w:tcBorders>
          </w:tcPr>
          <w:p w14:paraId="1A2BAB5A" w14:textId="41DEF73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185966A0" w14:textId="4404AA05"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4"/>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102/2024/NĐ-CP ngày 30/7/2024 của Chính phủ quy định chi tiết một số điều của Luật đất đai còn có bất cập như: Tại điểm c khoản 2 Điều 31 quy định “Trường hợp đến thời điểm kiểm tra, thanh tra mới xác định hành vi không sử dụng đất đã quá 12 tháng liên tục hoặc đã chậm tiến độ sử dụng đất quá 24 tháng thì thời điểm để tính gia hạn sử dụng đất không quá 24 tháng được tính từ ngày cơ quan có thẩm quyền giao đất, cho thuê đất quyết định gia hạn. Quyết định gia hạn tiến độ sử dụng đất của cơ quan có thẩm quyền được ban hành trong thời hạn 30 ngày kể từ ngày nhận được báo cáo kết quả kiểm tra hoặc kết luận thanh tra nếu người sử dụng đất có văn bản đề nghị”. Qua kết quả kiểm toán cho thấy, dự án chậm nhiều năm , trong đó có dự án sau khi giao đất 154 tháng mới được kiểm tra, phát hiện nhưng tiếp tục được gia hạn thời gian sử dụng (Công trình hỗn hợp Trung tâm thương mại, khách sạn căn hộ và nhà ở - Công ty CP ĐTXD &amp; PT Đô thị Hồng Hà).</w:t>
            </w:r>
          </w:p>
        </w:tc>
        <w:tc>
          <w:tcPr>
            <w:tcW w:w="3827" w:type="dxa"/>
            <w:tcBorders>
              <w:top w:val="single" w:sz="4" w:space="0" w:color="000000"/>
              <w:left w:val="single" w:sz="4" w:space="0" w:color="000000"/>
              <w:bottom w:val="single" w:sz="4" w:space="0" w:color="000000"/>
              <w:right w:val="single" w:sz="4" w:space="0" w:color="000000"/>
            </w:tcBorders>
          </w:tcPr>
          <w:p w14:paraId="38C2D42E" w14:textId="6C33A62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Kính đề nghị Thủ tướng Chính phủ xem xét, chỉ đạo các bộ, cơ quan có liên quan nghiên cứu sửa đổi, bổ sung một số quy định tại Khoản 2 Điều 31 Nghị định số 102/2024/NĐ-CP ngày 30/7/2024 (Khoản 2, Điều 4 Nghị định 226/2025/NĐ-CP) quy định chi tiết một số điều của Luật đất đai, trong đó quy định chi tiết đối với các dự án chậm tiến độ nhiều tháng mới được thanh tra, kiểm tra phát hiện, do có dự án sau khi giao đất 154 tháng mới được kiểm tra, phát hiện nhưng tiếp tục được gia hạn thời gian sử dụng đất.</w:t>
            </w:r>
          </w:p>
        </w:tc>
        <w:tc>
          <w:tcPr>
            <w:tcW w:w="2126" w:type="dxa"/>
            <w:tcBorders>
              <w:top w:val="single" w:sz="4" w:space="0" w:color="000000"/>
              <w:left w:val="single" w:sz="4" w:space="0" w:color="000000"/>
              <w:bottom w:val="single" w:sz="4" w:space="0" w:color="000000"/>
              <w:right w:val="single" w:sz="4" w:space="0" w:color="000000"/>
            </w:tcBorders>
          </w:tcPr>
          <w:p w14:paraId="2552AA33" w14:textId="1B293E3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chấp hành các quy định pháp luật về quản lý, sử dụng đất trên địa bàn một số quận, huyện” thuộc thành phố Hà Nội</w:t>
            </w:r>
          </w:p>
        </w:tc>
      </w:tr>
      <w:tr w:rsidR="00A40329" w:rsidRPr="00E24264" w14:paraId="612592B7" w14:textId="77777777" w:rsidTr="00A40329">
        <w:trPr>
          <w:cantSplit/>
          <w:trHeight w:val="68"/>
        </w:trPr>
        <w:tc>
          <w:tcPr>
            <w:tcW w:w="559" w:type="dxa"/>
          </w:tcPr>
          <w:p w14:paraId="11603C7B"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3FCE398" w14:textId="1157B85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07B41ECE" w14:textId="46E68E8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35/2022/NĐ-CP ngày 28/5/2022</w:t>
            </w:r>
          </w:p>
        </w:tc>
        <w:tc>
          <w:tcPr>
            <w:tcW w:w="851" w:type="dxa"/>
            <w:tcBorders>
              <w:top w:val="single" w:sz="4" w:space="0" w:color="000000"/>
              <w:left w:val="single" w:sz="4" w:space="0" w:color="000000"/>
              <w:bottom w:val="single" w:sz="4" w:space="0" w:color="000000"/>
              <w:right w:val="single" w:sz="4" w:space="0" w:color="000000"/>
            </w:tcBorders>
          </w:tcPr>
          <w:p w14:paraId="240E7D7C" w14:textId="44709038"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5AF0BDCF" w14:textId="561DAE39"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Một số nhiệm vụ quy định thẩm quyền của Ban Quản lý KCN như phê duyệt quy hoạch, quy hoạch phân khu, quy hoạch chi tiết khu chức năng theo quy định khoản 4 Điều 41 Luật Quy hoạch đô thị và nông thôn năm 2024 nhưng chưa được cập nhật điều chỉnh tại Nghị định quy định về quản lý khu công nghiệp, khu kinh tế.</w:t>
            </w:r>
          </w:p>
        </w:tc>
        <w:tc>
          <w:tcPr>
            <w:tcW w:w="3827" w:type="dxa"/>
            <w:tcBorders>
              <w:top w:val="single" w:sz="4" w:space="0" w:color="000000"/>
              <w:left w:val="single" w:sz="4" w:space="0" w:color="000000"/>
              <w:bottom w:val="single" w:sz="4" w:space="0" w:color="000000"/>
              <w:right w:val="single" w:sz="4" w:space="0" w:color="000000"/>
            </w:tcBorders>
          </w:tcPr>
          <w:p w14:paraId="60AE9E24" w14:textId="64ADBFC3"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Xem xét, nghiên cứu tham mưu cho Chính phủ sửa đổi, bổ sung Nghị định số 35/2022/NĐ-CP quy định về thẩm quyền của Ban Quản lý KCN trong việc phê duyệt nhiệm vụ quy hoạch, quy hoạch phân khu, quy hoạch chi tiết khu chức năng cho phù hợp quy định tại khoản 4 Điều 41 Luật Quy hoạch đô thị và nông thôn năm 2024.</w:t>
            </w:r>
          </w:p>
        </w:tc>
        <w:tc>
          <w:tcPr>
            <w:tcW w:w="2126" w:type="dxa"/>
            <w:tcBorders>
              <w:top w:val="single" w:sz="4" w:space="0" w:color="000000"/>
              <w:left w:val="single" w:sz="4" w:space="0" w:color="000000"/>
              <w:bottom w:val="single" w:sz="4" w:space="0" w:color="000000"/>
              <w:right w:val="single" w:sz="4" w:space="0" w:color="000000"/>
            </w:tcBorders>
          </w:tcPr>
          <w:p w14:paraId="25F5B328" w14:textId="138E534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thực hiện chính sách ưu đãi đầu tư tại khu kinh tế, khu công nghiệp giai đoạn 2022-2024 tại Thành phố Hồ Chí Minh.</w:t>
            </w:r>
          </w:p>
        </w:tc>
      </w:tr>
      <w:tr w:rsidR="00A40329" w:rsidRPr="00E24264" w14:paraId="612EBC48" w14:textId="77777777" w:rsidTr="00A40329">
        <w:trPr>
          <w:cantSplit/>
          <w:trHeight w:val="68"/>
        </w:trPr>
        <w:tc>
          <w:tcPr>
            <w:tcW w:w="559" w:type="dxa"/>
          </w:tcPr>
          <w:p w14:paraId="612EBC3F" w14:textId="77777777" w:rsidR="00A40329" w:rsidRPr="00E24264" w:rsidRDefault="00A40329" w:rsidP="001E0652">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C4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C41" w14:textId="76B2141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định 78/202</w:t>
            </w:r>
            <w:r w:rsidRPr="00E24264">
              <w:rPr>
                <w:rFonts w:ascii="Times New Roman" w:eastAsia="Times New Roman" w:hAnsi="Times New Roman" w:cs="Times New Roman"/>
                <w:sz w:val="20"/>
                <w:szCs w:val="20"/>
              </w:rPr>
              <w:lastRenderedPageBreak/>
              <w:t>3/NĐ-CP ngày 07/11/2023</w:t>
            </w:r>
          </w:p>
        </w:tc>
        <w:tc>
          <w:tcPr>
            <w:tcW w:w="851" w:type="dxa"/>
            <w:tcBorders>
              <w:top w:val="single" w:sz="4" w:space="0" w:color="000000"/>
              <w:left w:val="single" w:sz="4" w:space="0" w:color="000000"/>
              <w:bottom w:val="single" w:sz="4" w:space="0" w:color="000000"/>
              <w:right w:val="single" w:sz="4" w:space="0" w:color="000000"/>
            </w:tcBorders>
          </w:tcPr>
          <w:p w14:paraId="612EBC42" w14:textId="0C4C280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 bổ sung</w:t>
            </w:r>
          </w:p>
        </w:tc>
        <w:tc>
          <w:tcPr>
            <w:tcW w:w="5672" w:type="dxa"/>
            <w:tcBorders>
              <w:top w:val="single" w:sz="4" w:space="0" w:color="000000"/>
              <w:left w:val="single" w:sz="4" w:space="0" w:color="000000"/>
              <w:bottom w:val="single" w:sz="4" w:space="0" w:color="000000"/>
              <w:right w:val="single" w:sz="4" w:space="0" w:color="000000"/>
            </w:tcBorders>
          </w:tcPr>
          <w:p w14:paraId="612EBC43" w14:textId="77777777" w:rsidR="00A40329" w:rsidRPr="00E24264" w:rsidRDefault="00A40329" w:rsidP="001E0652">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định số 78/2023/NĐ-CP quy định NHNN hướng dẫn VDB thực hiện trích lập dự phòng rủi ro theo hướng dẫn của NHNN đối với các ngân hàng thương mại, quy định này chưa phù hợp với khoản 3 Điều </w:t>
            </w:r>
            <w:r w:rsidRPr="00E24264">
              <w:rPr>
                <w:rFonts w:ascii="Times New Roman" w:eastAsia="Times New Roman" w:hAnsi="Times New Roman" w:cs="Times New Roman"/>
                <w:sz w:val="20"/>
                <w:szCs w:val="20"/>
              </w:rPr>
              <w:lastRenderedPageBreak/>
              <w:t>147 Luật TCTD số 32/2024/QH15 ngày 18/11/2024 (quy định Chính phủ hướng dẫn)</w:t>
            </w:r>
          </w:p>
        </w:tc>
        <w:tc>
          <w:tcPr>
            <w:tcW w:w="3827" w:type="dxa"/>
            <w:tcBorders>
              <w:top w:val="single" w:sz="4" w:space="0" w:color="000000"/>
              <w:left w:val="single" w:sz="4" w:space="0" w:color="000000"/>
              <w:bottom w:val="single" w:sz="4" w:space="0" w:color="000000"/>
              <w:right w:val="single" w:sz="4" w:space="0" w:color="000000"/>
            </w:tcBorders>
          </w:tcPr>
          <w:p w14:paraId="612EBC4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Trình Chính phủ ban hành văn bản sửa đổi quy định về trích lập dự phòng rủi ro tại Nghị định số 78/2023/NĐ-CP cho phù hợp với quy </w:t>
            </w:r>
            <w:r w:rsidRPr="00E24264">
              <w:rPr>
                <w:rFonts w:ascii="Times New Roman" w:eastAsia="Times New Roman" w:hAnsi="Times New Roman" w:cs="Times New Roman"/>
                <w:sz w:val="20"/>
                <w:szCs w:val="20"/>
              </w:rPr>
              <w:lastRenderedPageBreak/>
              <w:t>định tại khoản 3 Điều 147 Luật TCTD số 32/2024/QH15 ngày 18/11/2024.</w:t>
            </w:r>
          </w:p>
        </w:tc>
        <w:tc>
          <w:tcPr>
            <w:tcW w:w="2126" w:type="dxa"/>
            <w:tcBorders>
              <w:top w:val="single" w:sz="4" w:space="0" w:color="000000"/>
              <w:left w:val="single" w:sz="4" w:space="0" w:color="000000"/>
              <w:bottom w:val="single" w:sz="4" w:space="0" w:color="000000"/>
              <w:right w:val="single" w:sz="4" w:space="0" w:color="000000"/>
            </w:tcBorders>
          </w:tcPr>
          <w:p w14:paraId="612EBC45" w14:textId="3127C521"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Báo cáo tài chính, các hoạt động liên quan đến quản lý, sử dụng vốn, </w:t>
            </w:r>
            <w:r w:rsidRPr="00E24264">
              <w:rPr>
                <w:rFonts w:ascii="Times New Roman" w:eastAsia="Times New Roman" w:hAnsi="Times New Roman" w:cs="Times New Roman"/>
                <w:sz w:val="20"/>
                <w:szCs w:val="20"/>
              </w:rPr>
              <w:lastRenderedPageBreak/>
              <w:t>tài sản nhà nước năm 2024 của Ngân hàng Phát triển Việt Nam (VDB)</w:t>
            </w:r>
          </w:p>
        </w:tc>
      </w:tr>
      <w:tr w:rsidR="00A40329" w:rsidRPr="00E24264" w14:paraId="612EBC50" w14:textId="77777777" w:rsidTr="00A40329">
        <w:trPr>
          <w:cantSplit/>
          <w:trHeight w:val="43"/>
        </w:trPr>
        <w:tc>
          <w:tcPr>
            <w:tcW w:w="559" w:type="dxa"/>
          </w:tcPr>
          <w:p w14:paraId="612EBC49"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lastRenderedPageBreak/>
              <w:t>III</w:t>
            </w:r>
          </w:p>
        </w:tc>
        <w:tc>
          <w:tcPr>
            <w:tcW w:w="2695" w:type="dxa"/>
            <w:gridSpan w:val="3"/>
            <w:tcBorders>
              <w:right w:val="single" w:sz="4" w:space="0" w:color="000000"/>
            </w:tcBorders>
          </w:tcPr>
          <w:p w14:paraId="612EBC4A"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Quyết định của TTCP</w:t>
            </w:r>
          </w:p>
        </w:tc>
        <w:tc>
          <w:tcPr>
            <w:tcW w:w="5672" w:type="dxa"/>
          </w:tcPr>
          <w:p w14:paraId="612EBC4B" w14:textId="77777777" w:rsidR="00A40329" w:rsidRPr="00E24264" w:rsidRDefault="00A40329" w:rsidP="001E0652">
            <w:pPr>
              <w:tabs>
                <w:tab w:val="left" w:pos="156"/>
              </w:tabs>
              <w:spacing w:after="0" w:line="240" w:lineRule="auto"/>
              <w:jc w:val="both"/>
              <w:rPr>
                <w:rFonts w:ascii="Times New Roman" w:eastAsia="Times New Roman" w:hAnsi="Times New Roman" w:cs="Times New Roman"/>
                <w:b/>
                <w:bCs/>
                <w:sz w:val="20"/>
                <w:szCs w:val="20"/>
              </w:rPr>
            </w:pPr>
          </w:p>
        </w:tc>
        <w:tc>
          <w:tcPr>
            <w:tcW w:w="3827" w:type="dxa"/>
          </w:tcPr>
          <w:p w14:paraId="612EBC4C"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p>
        </w:tc>
        <w:tc>
          <w:tcPr>
            <w:tcW w:w="2126" w:type="dxa"/>
          </w:tcPr>
          <w:p w14:paraId="612EBC4D"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p>
        </w:tc>
      </w:tr>
      <w:tr w:rsidR="00A40329" w:rsidRPr="00E24264" w14:paraId="612EBC5A" w14:textId="77777777" w:rsidTr="00A40329">
        <w:trPr>
          <w:cantSplit/>
          <w:trHeight w:val="43"/>
        </w:trPr>
        <w:tc>
          <w:tcPr>
            <w:tcW w:w="559" w:type="dxa"/>
          </w:tcPr>
          <w:p w14:paraId="612EBC51" w14:textId="77777777" w:rsidR="00A40329" w:rsidRPr="00E24264" w:rsidRDefault="00A40329" w:rsidP="001E0652">
            <w:pPr>
              <w:numPr>
                <w:ilvl w:val="0"/>
                <w:numId w:val="4"/>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Borders>
              <w:right w:val="single" w:sz="4" w:space="0" w:color="000000"/>
            </w:tcBorders>
          </w:tcPr>
          <w:p w14:paraId="612EBC52"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Bộ Nông nghiệp và Môi trường</w:t>
            </w:r>
          </w:p>
        </w:tc>
        <w:tc>
          <w:tcPr>
            <w:tcW w:w="851" w:type="dxa"/>
            <w:tcBorders>
              <w:right w:val="single" w:sz="4" w:space="0" w:color="000000"/>
            </w:tcBorders>
          </w:tcPr>
          <w:p w14:paraId="612EBC53"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Quyết định số 13/2024/QĐ-TTg ngày 13/8/2024 của TTCP</w:t>
            </w:r>
          </w:p>
        </w:tc>
        <w:tc>
          <w:tcPr>
            <w:tcW w:w="851" w:type="dxa"/>
            <w:tcBorders>
              <w:right w:val="single" w:sz="4" w:space="0" w:color="000000"/>
            </w:tcBorders>
          </w:tcPr>
          <w:p w14:paraId="612EBC54" w14:textId="6670BD48" w:rsidR="00A40329" w:rsidRPr="00E24264" w:rsidRDefault="00A40329" w:rsidP="001E0652">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Sửa đổi, bổ sung</w:t>
            </w:r>
          </w:p>
        </w:tc>
        <w:tc>
          <w:tcPr>
            <w:tcW w:w="5672" w:type="dxa"/>
          </w:tcPr>
          <w:p w14:paraId="612EBC55" w14:textId="77777777" w:rsidR="00A40329" w:rsidRPr="00E24264" w:rsidRDefault="00A40329" w:rsidP="001E0652">
            <w:pPr>
              <w:tabs>
                <w:tab w:val="left" w:pos="156"/>
              </w:tabs>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Quyết định số 01/2022/QĐ-TTg ngày 18/01/2022, Quyết định số 13/2024/QĐ-TTg ngày 13/8/2024 của TTCP ban hành danh mục lĩnh vực, cơ sở phát thải khí nhà kính phải thực hiện kiểm kê khí nhà kính (cập nhật), tuy nhiên qua kiểm tra, đối chiếu danh sách các cơ sở phải kiểm kê theo các quyết định trên cho thấy, một số cơ sở nằm trong danh sách có khối lượng phát thải nhỏ hơn một số cơ sở chưa nằm trong danh sách.</w:t>
            </w:r>
          </w:p>
        </w:tc>
        <w:tc>
          <w:tcPr>
            <w:tcW w:w="3827" w:type="dxa"/>
          </w:tcPr>
          <w:p w14:paraId="612EBC56"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Chủ trì tham mưu sửa đổi Quyết định số 13/2024/QĐ-TTg ngày 13/8/2024 của TTCP ban hành danh mục lĩnh vực, cơ sở phát thải khí nhà kính phải thực hiện kiểm kê khí nhà kính (cập nhật), rà soát, bổ sung cơ sở phát thải khí nhà kính phải thực hiện kiểm kê khí nhà kính theo nguyên tắc trách nhiệm, thống nhất, công bằng, minh bạch.</w:t>
            </w:r>
          </w:p>
        </w:tc>
        <w:tc>
          <w:tcPr>
            <w:tcW w:w="2126" w:type="dxa"/>
          </w:tcPr>
          <w:p w14:paraId="612EBC57" w14:textId="7CD34C25" w:rsidR="00A40329" w:rsidRPr="00E24264" w:rsidRDefault="00A40329" w:rsidP="001E0652">
            <w:pPr>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Công tác quản lý, bảo vệ môi trường đối với các cơ sở nhập khẩu phế liệu từ nước ngoài làm nguyên liệu sản xuất giai đoạn 2022 - 2024</w:t>
            </w:r>
          </w:p>
        </w:tc>
      </w:tr>
      <w:tr w:rsidR="00A40329" w:rsidRPr="00E24264" w14:paraId="612EBC65" w14:textId="77777777" w:rsidTr="00A40329">
        <w:trPr>
          <w:cantSplit/>
          <w:trHeight w:val="43"/>
        </w:trPr>
        <w:tc>
          <w:tcPr>
            <w:tcW w:w="559" w:type="dxa"/>
          </w:tcPr>
          <w:p w14:paraId="612EBC5B" w14:textId="77777777" w:rsidR="00A40329" w:rsidRPr="00E24264" w:rsidRDefault="00A40329" w:rsidP="001E0652">
            <w:pPr>
              <w:numPr>
                <w:ilvl w:val="0"/>
                <w:numId w:val="4"/>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Borders>
              <w:right w:val="single" w:sz="4" w:space="0" w:color="000000"/>
            </w:tcBorders>
          </w:tcPr>
          <w:p w14:paraId="612EBC5C"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Thủ tướng Chính phủ</w:t>
            </w:r>
          </w:p>
        </w:tc>
        <w:tc>
          <w:tcPr>
            <w:tcW w:w="851" w:type="dxa"/>
            <w:tcBorders>
              <w:right w:val="single" w:sz="4" w:space="0" w:color="000000"/>
            </w:tcBorders>
          </w:tcPr>
          <w:p w14:paraId="612EBC5D"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Quyết định số 35/2019/QĐ-TTg ngày  19/12/2019</w:t>
            </w:r>
          </w:p>
        </w:tc>
        <w:tc>
          <w:tcPr>
            <w:tcW w:w="851" w:type="dxa"/>
            <w:tcBorders>
              <w:right w:val="single" w:sz="4" w:space="0" w:color="000000"/>
            </w:tcBorders>
          </w:tcPr>
          <w:p w14:paraId="612EBC5E" w14:textId="23AEBFC4" w:rsidR="00A40329" w:rsidRPr="00E24264" w:rsidRDefault="00A40329" w:rsidP="001E0652">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Sửa đổi, bổ sung</w:t>
            </w:r>
          </w:p>
        </w:tc>
        <w:tc>
          <w:tcPr>
            <w:tcW w:w="5672" w:type="dxa"/>
          </w:tcPr>
          <w:p w14:paraId="612EBC5F" w14:textId="77777777" w:rsidR="00A40329" w:rsidRPr="00E24264" w:rsidRDefault="00A40329" w:rsidP="001E0652">
            <w:pPr>
              <w:tabs>
                <w:tab w:val="left" w:pos="156"/>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Giai đoạn 2022 - 2024, Bộ Công Thương chưa thực hiện trách nhiệm quy định tại điểm a khoản 4 Điều 6 Quy chế kèm theo Quyết định số 35/2019/QĐ-TTg…Tại Công văn số 7281/BCT-KHTC ngày 23/09/2025, Bộ Công Thương phúc đáp lý do không thực hiện do Luật Bảo vệ môi trường số 72/2020/QH14 và Nghị định số 08/2022/NĐ-CP ngày 10/01/2022 không quy định trách nhiệm của Bộ về quản lý phế liệu làm nguyên liệu sản xuất và không quy định việc các cơ sở, tư nhân nhập khẩu phế liệu làm nguyên liệu sản xuất trong nước phải có báo cáo gửi Bộ, do vậy Bộ Công Thương không có thông tin để thực hiện. </w:t>
            </w:r>
          </w:p>
          <w:p w14:paraId="612EBC60" w14:textId="77777777" w:rsidR="00A40329" w:rsidRPr="00E24264" w:rsidRDefault="00A40329" w:rsidP="001E0652">
            <w:pPr>
              <w:tabs>
                <w:tab w:val="left" w:pos="156"/>
              </w:tabs>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 xml:space="preserve">Quyết định số 35/2019/QĐ-TTg ban hành từ ngày 19/12/2019 là văn bản quy phạm pháp luật hiện đang có hiệu lực, tuy nhiên Bộ Công Thương không thực hiện trách nhiệm được giao và không có văn bản báo cáo các khó khăn, vướng mắc gửi Bộ Tài chính để tổng hợp, báo cáo Thủ tướng Chính phủ theo quy định tại khoản 3 </w:t>
            </w:r>
            <w:bookmarkStart w:id="2" w:name="fzw99c71p3kb" w:colFirst="0" w:colLast="0"/>
            <w:bookmarkEnd w:id="2"/>
            <w:r w:rsidRPr="00E24264">
              <w:rPr>
                <w:rFonts w:ascii="Times New Roman" w:eastAsia="Times New Roman" w:hAnsi="Times New Roman" w:cs="Times New Roman"/>
                <w:sz w:val="20"/>
                <w:szCs w:val="20"/>
              </w:rPr>
              <w:t>Điều 11 của Quy chế kèm theo Quyết định này. Việc tổ chức đánh giá nhu cầu phế liệu làm nguyên liệu sản xuất là cần thiết, là cơ sở quan trọng cho việc quản lý, kiểm soát việc nhập khẩu phế liệu theo nhu cầu đáp ứng yêu cầu phát triển kinh tế, gắn với việc kiểm soát tác động về môi trường.</w:t>
            </w:r>
          </w:p>
        </w:tc>
        <w:tc>
          <w:tcPr>
            <w:tcW w:w="3827" w:type="dxa"/>
          </w:tcPr>
          <w:p w14:paraId="612EBC61"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Chỉ đạo Bộ Tài chính chủ trì phối hợp với Bộ Nông nghiệp và Môi trường, Bộ Công Thương và các bộ, ngành, địa phương có liên quan:  Căn cứ Luật Bảo vệ môi trường năm 2020 và các quy định pháp luật hiện hành để tham mưu sửa đổi Quyết định số 35/2019/QĐ-TTg đảm bảo tính hiệu lực.</w:t>
            </w:r>
          </w:p>
        </w:tc>
        <w:tc>
          <w:tcPr>
            <w:tcW w:w="2126" w:type="dxa"/>
          </w:tcPr>
          <w:p w14:paraId="612EBC62" w14:textId="635C1B28" w:rsidR="00A40329" w:rsidRPr="00E24264" w:rsidRDefault="00A40329" w:rsidP="001E0652">
            <w:pPr>
              <w:spacing w:after="0" w:line="240" w:lineRule="auto"/>
              <w:jc w:val="both"/>
              <w:rPr>
                <w:rFonts w:ascii="Times New Roman" w:eastAsia="Times New Roman" w:hAnsi="Times New Roman" w:cs="Times New Roman"/>
                <w:b/>
                <w:bCs/>
                <w:sz w:val="20"/>
                <w:szCs w:val="20"/>
              </w:rPr>
            </w:pPr>
            <w:r w:rsidRPr="00E24264">
              <w:rPr>
                <w:rFonts w:ascii="Times New Roman" w:eastAsia="Times New Roman" w:hAnsi="Times New Roman" w:cs="Times New Roman"/>
                <w:sz w:val="20"/>
                <w:szCs w:val="20"/>
              </w:rPr>
              <w:t>Công tác quản lý, bảo vệ môi trường đối với các cơ sở nhập khẩu phế liệu từ nước ngoài làm nguyên liệu sản xuất giai đoạn 2022 - 2024</w:t>
            </w:r>
          </w:p>
        </w:tc>
      </w:tr>
      <w:tr w:rsidR="00A40329" w:rsidRPr="00E24264" w14:paraId="612EBC6E" w14:textId="77777777" w:rsidTr="00A40329">
        <w:trPr>
          <w:cantSplit/>
          <w:trHeight w:val="147"/>
        </w:trPr>
        <w:tc>
          <w:tcPr>
            <w:tcW w:w="559" w:type="dxa"/>
          </w:tcPr>
          <w:p w14:paraId="612EBC66"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IV</w:t>
            </w:r>
          </w:p>
        </w:tc>
        <w:tc>
          <w:tcPr>
            <w:tcW w:w="1844" w:type="dxa"/>
            <w:gridSpan w:val="2"/>
          </w:tcPr>
          <w:p w14:paraId="612EBC67"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Thông tư</w:t>
            </w:r>
          </w:p>
        </w:tc>
        <w:tc>
          <w:tcPr>
            <w:tcW w:w="851" w:type="dxa"/>
            <w:tcBorders>
              <w:top w:val="single" w:sz="4" w:space="0" w:color="000000"/>
              <w:left w:val="single" w:sz="4" w:space="0" w:color="000000"/>
              <w:bottom w:val="single" w:sz="4" w:space="0" w:color="000000"/>
              <w:right w:val="single" w:sz="4" w:space="0" w:color="000000"/>
            </w:tcBorders>
          </w:tcPr>
          <w:p w14:paraId="612EBC68"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5672" w:type="dxa"/>
          </w:tcPr>
          <w:p w14:paraId="612EBC69"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3827" w:type="dxa"/>
          </w:tcPr>
          <w:p w14:paraId="612EBC6A"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2126" w:type="dxa"/>
          </w:tcPr>
          <w:p w14:paraId="612EBC6B"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p>
        </w:tc>
      </w:tr>
      <w:tr w:rsidR="00A40329" w:rsidRPr="00E24264" w14:paraId="612EBC79" w14:textId="77777777" w:rsidTr="00A40329">
        <w:trPr>
          <w:cantSplit/>
          <w:trHeight w:val="231"/>
        </w:trPr>
        <w:tc>
          <w:tcPr>
            <w:tcW w:w="559" w:type="dxa"/>
          </w:tcPr>
          <w:p w14:paraId="612EBC6F"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7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Công thương </w:t>
            </w:r>
          </w:p>
        </w:tc>
        <w:tc>
          <w:tcPr>
            <w:tcW w:w="851" w:type="dxa"/>
          </w:tcPr>
          <w:p w14:paraId="612EBC71" w14:textId="1BDC75FF"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36/2013/TT-BCT</w:t>
            </w:r>
          </w:p>
        </w:tc>
        <w:tc>
          <w:tcPr>
            <w:tcW w:w="851" w:type="dxa"/>
          </w:tcPr>
          <w:p w14:paraId="612EBC72" w14:textId="4533C5D1"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7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Quy định về hồ sơ quyết toán tại Điều 19  Thông tư số 36/2013/TT-BCT của Bộ Công Thương chưa đầy đủ so với quy định tại khoản 2 Điều 13  Thông tư số 28/2018/TT-BTC của Bộ Tài chính, cụ thể thiếu các hồ sơ gồm: Hợp đồng thực hiện nhiệm vụ kèm theo dự toán </w:t>
            </w:r>
            <w:r w:rsidRPr="00E24264">
              <w:rPr>
                <w:rFonts w:ascii="Times New Roman" w:eastAsia="Times New Roman" w:hAnsi="Times New Roman" w:cs="Times New Roman"/>
                <w:sz w:val="20"/>
                <w:szCs w:val="20"/>
              </w:rPr>
              <w:lastRenderedPageBreak/>
              <w:t xml:space="preserve">chi tiết kinh phí được cấp có thẩm quyền phê duyệt, thanh lý hợp đồng; ủy nhiệm chi hoặc phiếu chi . </w:t>
            </w:r>
          </w:p>
          <w:p w14:paraId="612EBC7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Điều 19 Thông tư số 36/2013/TT-BCT quy định về hồ sơ quyết toán đối với trường hợp các đơn vị thực hiện đề án không lập hóa đơn tài chính cho Cục Công thương địa phương và các đơn vị thực hiện đề án có lập hóa đơn tài chính xuất cho Cục Công thương địa phương, tuy nhiên chưa hướng dẫn cụ thể đơn vị nào thuộc các trường hợp nêu trên để áp dụng cho phù hợp.</w:t>
            </w:r>
          </w:p>
        </w:tc>
        <w:tc>
          <w:tcPr>
            <w:tcW w:w="3827" w:type="dxa"/>
          </w:tcPr>
          <w:p w14:paraId="612EBC75"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Rà soát, xem xét sửa đổi quy định về hồ sơ quyết toán tại Điều 19 Thông tư số 36/2013/TT-BCT của Bộ Công Thương đảm bảo đầy đủ so với quy định tại khoản 2 Điều 13 Thông tư số 28/2018/TT-BTC của Bộ Tài </w:t>
            </w:r>
            <w:r w:rsidRPr="00E24264">
              <w:rPr>
                <w:rFonts w:ascii="Times New Roman" w:eastAsia="Times New Roman" w:hAnsi="Times New Roman" w:cs="Times New Roman"/>
                <w:sz w:val="20"/>
                <w:szCs w:val="20"/>
              </w:rPr>
              <w:lastRenderedPageBreak/>
              <w:t>chính, đồng thời bổ sung hướng dẫn cụ thể các trường hợp đơn vị thực hiện đề án không lập hóa đơn tài chính cho Cục Đổi mới sáng tạo, Chuyển đổi xanh và Khuyến công và các đơn vị thực hiện đề án có lập hóa đơn tài chính xuất cho Cục Đổi mới sáng tạo, Chuyển đổi xanh và Khuyến công.</w:t>
            </w:r>
          </w:p>
        </w:tc>
        <w:tc>
          <w:tcPr>
            <w:tcW w:w="2126" w:type="dxa"/>
          </w:tcPr>
          <w:p w14:paraId="612EBC76" w14:textId="28C61289"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Việc quản lý, sử dụng tài chính công, tài sản công năm 2024 và kiểm toán việc quản lý, sử dụng sắp xếp lại và xử </w:t>
            </w:r>
            <w:r w:rsidRPr="00E24264">
              <w:rPr>
                <w:rFonts w:ascii="Times New Roman" w:eastAsia="Times New Roman" w:hAnsi="Times New Roman" w:cs="Times New Roman"/>
                <w:sz w:val="20"/>
                <w:szCs w:val="20"/>
              </w:rPr>
              <w:lastRenderedPageBreak/>
              <w:t>lý nhà, đất theo Nghị định số 167/2017/NĐ-CP ngày 31/12/2017 và Nghị định số 67/2021/NĐ-CP ngày 15/7/2021 tại Bộ Công Thương</w:t>
            </w:r>
          </w:p>
        </w:tc>
      </w:tr>
      <w:tr w:rsidR="00A40329" w:rsidRPr="00E24264" w14:paraId="7CD6A33C" w14:textId="77777777" w:rsidTr="00A40329">
        <w:trPr>
          <w:cantSplit/>
          <w:trHeight w:val="231"/>
        </w:trPr>
        <w:tc>
          <w:tcPr>
            <w:tcW w:w="559" w:type="dxa"/>
          </w:tcPr>
          <w:p w14:paraId="72A6E0E1"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070E1971" w14:textId="31972B0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Bộ Khoa học và Công nghệ</w:t>
            </w:r>
          </w:p>
        </w:tc>
        <w:tc>
          <w:tcPr>
            <w:tcW w:w="851" w:type="dxa"/>
          </w:tcPr>
          <w:p w14:paraId="42F2C7B6" w14:textId="4F4A8F6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sz w:val="20"/>
                <w:szCs w:val="20"/>
                <w:lang w:eastAsia="ko-KR"/>
              </w:rPr>
              <w:t>Thông tư số 40/2014/TT-BKHCN ngày 18/12/2014</w:t>
            </w:r>
          </w:p>
        </w:tc>
        <w:tc>
          <w:tcPr>
            <w:tcW w:w="851" w:type="dxa"/>
          </w:tcPr>
          <w:p w14:paraId="76E46BC7" w14:textId="13F3CBF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3407A941" w14:textId="72E658E1"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val="de-DE" w:eastAsia="ko-KR"/>
              </w:rPr>
              <w:t xml:space="preserve">Đối với đề tài tiềm năng, Bộ KHCN ban hành Thông tư số 40/2014/TT-BKHCN ngày 18/12/2014 quy định quản lý nhiệm vụ khoa học và công nghệ đột xuất có ý nghĩa quan trọng về khoa học và thực tiễn, nhiệm vụ khoa học và công nghệ tiềm năng do Quỹ Phát triển khoa học và công nghệ Quốc gia tài trợ, trong đó quy định trường hợp chưa được cấp bằng sáng chế thì phải có xác nhận của cơ quan có thẩm quyền về khả năng bảo hộ. Tuy nhiên, tại Thông tư số 40/2014/TT-BKHCN chưa nêu cụ thể cơ quan có thẩm quyền được xác nhận khả năng bảo hộ là Viện khoa học sở hữu trí tuệ. Ngoài ra, nội dung trên được sửa đổi, bổ sung tại khoản 4 Điều 2 Thông tư số 10/2024/TT-BKHCN </w:t>
            </w:r>
            <w:bookmarkStart w:id="3" w:name="_Hlk203432258"/>
            <w:r w:rsidRPr="00E24264">
              <w:rPr>
                <w:rFonts w:ascii="Times New Roman" w:eastAsia="Batang" w:hAnsi="Times New Roman" w:cs="Times New Roman"/>
                <w:noProof/>
                <w:sz w:val="20"/>
                <w:szCs w:val="20"/>
                <w:lang w:val="de-DE" w:eastAsia="ko-KR"/>
              </w:rPr>
              <w:t xml:space="preserve">ngày 30/12/2024 </w:t>
            </w:r>
            <w:bookmarkEnd w:id="3"/>
            <w:r w:rsidRPr="00E24264">
              <w:rPr>
                <w:rFonts w:ascii="Times New Roman" w:eastAsia="Batang" w:hAnsi="Times New Roman" w:cs="Times New Roman"/>
                <w:noProof/>
                <w:sz w:val="20"/>
                <w:szCs w:val="20"/>
                <w:lang w:val="de-DE" w:eastAsia="ko-KR"/>
              </w:rPr>
              <w:t>sửa đổi bổ sung Thông tư số 40/2014/TT-BKHCN ngày 18/12/2014 (Trường hợp chưa được cấp bằng độc quyền sáng chế, bằng bảo hộ giống cây trồng thì phải có thông báo chấp nhận đơn và minh chứng về việc tiếp nhận yêu cầu thẩm định nội dung của cơ quan có thẩm quyền cấp bằng độc quyền sáng chế, bằng bảo hộ giống cây trồng và kết quả tra cứu khả năng bảo hộ từ các cơ quan, tổ chức có chứng nhận hoạt động hợp pháp). Nhưng tại Thông tư số 10/2024/TT-BKHCN cũng chưa quy định cơ quan, tổ chức có chứng nhận hoạt động hợp pháp trong lĩnh vực tra cứu khả năng bảo hộ; chưa quy định công tác hậu kiểm tra tình hình cấp bằng độc quyền sáng chế của các đề tài được nghiệm thu theo kết quả tra cứu khả năng bảo hộ dẫn đến có tình trạng đề tài có kết quả tra cứu khả năng bảo hộ nhưng vẫn chưa được cấp bằng sáng chế. Đồng thời, chưa có tiêu chí phân biệt rõ ràng giữa đề tài yêu cầu có bằng sáng chế và đề tài chỉ yêu cầu tra cứu khả năng bảo hộ khi nghiệm thu.</w:t>
            </w:r>
          </w:p>
        </w:tc>
        <w:tc>
          <w:tcPr>
            <w:tcW w:w="3827" w:type="dxa"/>
          </w:tcPr>
          <w:p w14:paraId="24F4F51C" w14:textId="09EC9BCA"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val="de-DE" w:eastAsia="ko-KR"/>
              </w:rPr>
              <w:t>Rà soát, sửa đổi, bổ sung quy định tại khoản 4 Điều 2 Thông tư số 10/2024/TT-BKHCN trong đó: Xác định rõ cơ quan, tổ chức có chứng nhận hoạt động hợp pháp trong lĩnh vực tra cứu khả năng bảo hộ; quy định về công tác hậu kiểm tra tình hình cấp bằng độc quyền sáng chế của các đề tài được nghiệm thu theo kết quả tra cứu khả năng bảo hộ, xác định tiêu chí phân biệt giữa các đề tài yêu cầu có bằng sáng chế và đề tài chỉ yêu cầu tra cứu khả năng bảo hộ.</w:t>
            </w:r>
          </w:p>
        </w:tc>
        <w:tc>
          <w:tcPr>
            <w:tcW w:w="2126" w:type="dxa"/>
          </w:tcPr>
          <w:p w14:paraId="646C0C7C" w14:textId="6ED1493B"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hAnsi="Times New Roman" w:cs="Times New Roman"/>
                <w:sz w:val="20"/>
                <w:szCs w:val="20"/>
                <w:lang w:val="nl-NL"/>
              </w:rPr>
              <w:t>Việc quản lý, sử dụng tài chính công, tài sản công năm 2024; chuyên đề việc quản lý, sử dụng, sắp xếp lại và xử lý nhà, đất theo Nghị định số 167/2017/NĐ-CP ngày 31/12/2017 và Nghị định số 67/2021/NĐ-CP ngày 15/7/2021; chuyên đề kiểm toán việc quản lý và sử dụng kinh phí thực hiện nhiệm vụ khoa học và công nghệ cấp quốc gia giai đoạn 2023-2024 tại Bộ Khoa học và Công nghệ</w:t>
            </w:r>
          </w:p>
        </w:tc>
      </w:tr>
      <w:tr w:rsidR="00A40329" w:rsidRPr="00E24264" w14:paraId="016102FD" w14:textId="77777777" w:rsidTr="00A40329">
        <w:trPr>
          <w:cantSplit/>
          <w:trHeight w:val="231"/>
        </w:trPr>
        <w:tc>
          <w:tcPr>
            <w:tcW w:w="559" w:type="dxa"/>
          </w:tcPr>
          <w:p w14:paraId="6615DE9D"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700A2358" w14:textId="13903BAD"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Tòa án nhân dân tối cao</w:t>
            </w:r>
          </w:p>
        </w:tc>
        <w:tc>
          <w:tcPr>
            <w:tcW w:w="851" w:type="dxa"/>
          </w:tcPr>
          <w:p w14:paraId="4FFADFE7" w14:textId="21D02C61"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 xml:space="preserve">Thông tư liên tịch số </w:t>
            </w:r>
            <w:r w:rsidRPr="00E24264">
              <w:rPr>
                <w:rFonts w:ascii="Times New Roman" w:eastAsia="Times New Roman" w:hAnsi="Times New Roman" w:cs="Times New Roman"/>
                <w:bCs/>
                <w:iCs/>
                <w:spacing w:val="-2"/>
                <w:sz w:val="20"/>
                <w:szCs w:val="20"/>
                <w:lang w:val="nl-NL"/>
              </w:rPr>
              <w:lastRenderedPageBreak/>
              <w:t>09/2014/TTLT-BTP-TANDTC-VKSNDTC-BTC ngày 28/02/2014</w:t>
            </w:r>
          </w:p>
        </w:tc>
        <w:tc>
          <w:tcPr>
            <w:tcW w:w="851" w:type="dxa"/>
          </w:tcPr>
          <w:p w14:paraId="666C8159" w14:textId="1E85022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 bổ sung</w:t>
            </w:r>
          </w:p>
        </w:tc>
        <w:tc>
          <w:tcPr>
            <w:tcW w:w="5672" w:type="dxa"/>
          </w:tcPr>
          <w:p w14:paraId="6BAB2AC4" w14:textId="6E69998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Chi phí tống đạt văn bản (trong trường hợp thuê Văn phòng Thừa phát lại để tống đạt) được xác định theo tiêu chí “trong phạm vi cấp huyện” hoặc “ngoài phạm vi cấp huyện</w:t>
            </w:r>
            <w:r w:rsidRPr="00E24264">
              <w:rPr>
                <w:rStyle w:val="FootnoteReference"/>
                <w:rFonts w:ascii="Times New Roman" w:eastAsia="Times New Roman" w:hAnsi="Times New Roman" w:cs="Times New Roman"/>
                <w:bCs/>
                <w:iCs/>
                <w:spacing w:val="-2"/>
                <w:sz w:val="20"/>
                <w:szCs w:val="20"/>
                <w:lang w:val="nl-NL"/>
              </w:rPr>
              <w:footnoteReference w:id="1"/>
            </w:r>
            <w:r w:rsidRPr="00E24264">
              <w:rPr>
                <w:rFonts w:ascii="Times New Roman" w:eastAsia="Times New Roman" w:hAnsi="Times New Roman" w:cs="Times New Roman"/>
                <w:bCs/>
                <w:iCs/>
                <w:spacing w:val="-2"/>
                <w:sz w:val="20"/>
                <w:szCs w:val="20"/>
                <w:lang w:val="nl-NL"/>
              </w:rPr>
              <w:t xml:space="preserve">” của nơi đặt trụ sở Văn phòng Thừa </w:t>
            </w:r>
            <w:r w:rsidRPr="00E24264">
              <w:rPr>
                <w:rFonts w:ascii="Times New Roman" w:eastAsia="Times New Roman" w:hAnsi="Times New Roman" w:cs="Times New Roman"/>
                <w:bCs/>
                <w:iCs/>
                <w:spacing w:val="-2"/>
                <w:sz w:val="20"/>
                <w:szCs w:val="20"/>
                <w:lang w:val="nl-NL"/>
              </w:rPr>
              <w:lastRenderedPageBreak/>
              <w:t>phát lại theo quy định tại Điều 13 Thông tư liên tịch số 09/2014/TTLT-BTP-TANDTC-VKSNDTC-BTC ngày 28/02/2014 của Bộ trưởng Bộ Tư pháp, Chánh án TAND tối cao, Viện trưởng viện KSND tối cao, Bộ trưởng Bộ Tài chính. Tuy nhiên, hiện nay bộ máy nhà nước đang tổ chức theo mô hình chính quyền địa phương 2 cấp (bỏ chính quyền cấp huyện), do vậy việc xác định chi phí tống đạt như các quy định trên còn gặp khó khăn, không phù hợp với thực tế.</w:t>
            </w:r>
          </w:p>
        </w:tc>
        <w:tc>
          <w:tcPr>
            <w:tcW w:w="3827" w:type="dxa"/>
          </w:tcPr>
          <w:p w14:paraId="20948F93" w14:textId="3C359D7C"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lastRenderedPageBreak/>
              <w:t xml:space="preserve">Chỉ đạo Cục Kế hoạch - Tài chính và các đơn vị có liên quan phối hợp với Bộ Tư pháp, Viện Kiểm sát nhân dân tối cao, Bộ Tài chính nghiên </w:t>
            </w:r>
            <w:r w:rsidRPr="00E24264">
              <w:rPr>
                <w:rFonts w:ascii="Times New Roman" w:eastAsia="Times New Roman" w:hAnsi="Times New Roman" w:cs="Times New Roman"/>
                <w:bCs/>
                <w:iCs/>
                <w:spacing w:val="-2"/>
                <w:sz w:val="20"/>
                <w:szCs w:val="20"/>
                <w:lang w:val="nl-NL"/>
              </w:rPr>
              <w:lastRenderedPageBreak/>
              <w:t>cứu sửa đổi quy định tại Điều 13 Thông tư liên tịch số 09/2014/TTLT-BTP-TANDTC-VKSNDTC-BTC ngày 28/02/2014 về chi phí tống đạt văn bản  phù hợp với phạm vi theo mô hình tổ chức chính quyền địa phương 2 cấp và tổ chức, bộ máy của (mới) của Tòa án nhân dân.</w:t>
            </w:r>
          </w:p>
        </w:tc>
        <w:tc>
          <w:tcPr>
            <w:tcW w:w="2126" w:type="dxa"/>
          </w:tcPr>
          <w:p w14:paraId="7E54C34E" w14:textId="23B00DB3" w:rsidR="00A40329" w:rsidRPr="00E24264" w:rsidRDefault="00A40329" w:rsidP="001E0652">
            <w:pPr>
              <w:spacing w:after="0" w:line="240" w:lineRule="auto"/>
              <w:jc w:val="both"/>
              <w:rPr>
                <w:rFonts w:ascii="Times New Roman" w:eastAsia="Times New Roman" w:hAnsi="Times New Roman" w:cs="Times New Roman"/>
                <w:sz w:val="20"/>
                <w:szCs w:val="20"/>
              </w:rPr>
            </w:pPr>
            <w:bookmarkStart w:id="4" w:name="_Hlk217215187"/>
            <w:r w:rsidRPr="00E24264">
              <w:rPr>
                <w:rFonts w:ascii="Times New Roman" w:eastAsia="Times New Roman" w:hAnsi="Times New Roman" w:cs="Times New Roman"/>
                <w:bCs/>
                <w:iCs/>
                <w:spacing w:val="-2"/>
                <w:sz w:val="20"/>
                <w:szCs w:val="20"/>
                <w:lang w:val="nl-NL"/>
              </w:rPr>
              <w:lastRenderedPageBreak/>
              <w:t xml:space="preserve">Việc quản lý, sử dụng tài chính công, tài sản công và Báo cáo cáo </w:t>
            </w:r>
            <w:r w:rsidRPr="00E24264">
              <w:rPr>
                <w:rFonts w:ascii="Times New Roman" w:eastAsia="Times New Roman" w:hAnsi="Times New Roman" w:cs="Times New Roman"/>
                <w:bCs/>
                <w:iCs/>
                <w:spacing w:val="-2"/>
                <w:sz w:val="20"/>
                <w:szCs w:val="20"/>
                <w:lang w:val="nl-NL"/>
              </w:rPr>
              <w:lastRenderedPageBreak/>
              <w:t>quyết toán ngân sách năm 2024 của Tòa án nhân dân tối cao</w:t>
            </w:r>
            <w:bookmarkEnd w:id="4"/>
          </w:p>
        </w:tc>
      </w:tr>
      <w:tr w:rsidR="00A40329" w:rsidRPr="00E24264" w14:paraId="612EBC83" w14:textId="77777777" w:rsidTr="00A40329">
        <w:trPr>
          <w:cantSplit/>
          <w:trHeight w:val="231"/>
        </w:trPr>
        <w:tc>
          <w:tcPr>
            <w:tcW w:w="559" w:type="dxa"/>
          </w:tcPr>
          <w:p w14:paraId="612EBC7A"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7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 và Bộ Khoa học và Công nghệ</w:t>
            </w:r>
          </w:p>
        </w:tc>
        <w:tc>
          <w:tcPr>
            <w:tcW w:w="851" w:type="dxa"/>
          </w:tcPr>
          <w:p w14:paraId="612EBC7C" w14:textId="4F676B21"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liên tịch số 27/2015/TTLT-BKHCN-BTC ngày 30/12/2015</w:t>
            </w:r>
          </w:p>
        </w:tc>
        <w:tc>
          <w:tcPr>
            <w:tcW w:w="851" w:type="dxa"/>
          </w:tcPr>
          <w:p w14:paraId="612EBC7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7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Khoản 3, Điều 3 (Phương thức khoán chi thực hiện nhiệm vụ)  Thông tư liên tịch số 27/2015/TTLT-BKHCN-BTC quy định phương thức khoán chi của nhiệm vụ khoa học công nghệ được xây dựng dự toán kinh phí theo quy định tại Thông tư liên tịch số 55/2015/TTLT-BTC-BKHCN nhưng một số nội dung tại Thông tư liên tịch số 55/2015/TTLT-BTC-BKHCN hết hiệu lực thi hành kể từ ngày Thông tư 03/2023/TT-BTC có hiệu lực kể từ ngày 26/02/2023</w:t>
            </w:r>
          </w:p>
        </w:tc>
        <w:tc>
          <w:tcPr>
            <w:tcW w:w="3827" w:type="dxa"/>
          </w:tcPr>
          <w:p w14:paraId="612EBC7F"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Tài chính phối hợp với Bộ Khoa học và Công nghệ xem xét bổ sung, sửa đổi phương thức khoán của nhiệm khoa công nghệ tại Thông tư liên tịch số 27/2015/TTLT-BKHCN-BTC của Bộ Tài chính và Bộ Khoa học và Công nghệ do một số Điều khoản của Thông tư liên tịch số 55/2015/TTLT-BTC-BKHCN đã hết hiệu lực thi hành và được thay thế bởi Thông tư số 03/2023/TT-BTC của Bộ Tài chính. </w:t>
            </w:r>
          </w:p>
        </w:tc>
        <w:tc>
          <w:tcPr>
            <w:tcW w:w="2126" w:type="dxa"/>
          </w:tcPr>
          <w:p w14:paraId="612EBC80" w14:textId="3813FF96"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và Chuyên đề việc thực hiện các chính sách ưu đãi đầu tư tại Khu kinh tế, Khu công nghiệp giai đoạn 2022-2024 tại tỉnh Cà Mau</w:t>
            </w:r>
          </w:p>
        </w:tc>
      </w:tr>
      <w:tr w:rsidR="00A40329" w:rsidRPr="00E24264" w14:paraId="612EBC8E" w14:textId="77777777" w:rsidTr="00A40329">
        <w:trPr>
          <w:cantSplit/>
          <w:trHeight w:val="231"/>
        </w:trPr>
        <w:tc>
          <w:tcPr>
            <w:tcW w:w="559" w:type="dxa"/>
            <w:vMerge w:val="restart"/>
          </w:tcPr>
          <w:p w14:paraId="612EBC84"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vMerge w:val="restart"/>
          </w:tcPr>
          <w:p w14:paraId="612EBC8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vMerge w:val="restart"/>
          </w:tcPr>
          <w:p w14:paraId="612EBC8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75/2013/TT-BTC ngày 04/6/2013</w:t>
            </w:r>
          </w:p>
        </w:tc>
        <w:tc>
          <w:tcPr>
            <w:tcW w:w="851" w:type="dxa"/>
            <w:vMerge w:val="restart"/>
          </w:tcPr>
          <w:p w14:paraId="612EBC8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8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Về kỳ hạn nợ: Hiện nay các đại lý xổ số chỉ bảo đảm nghĩa vụ thanh toán thông qua thế chấp tài sản hoặc ký quỹ nhưng được chậm thanh toán tiền vé số, được thanh toán không quá 21 ngày (tương đương 03 kỳ vé số) theo quy định tại Thông tư số 75/2013/TT-BTC ngày 04/6/2013 của Bộ Tài chính hướng dẫn chi tiết về hoạt động kinh doanh xổ số nhưng thực tế khi bán vé số thì các đại lý có thu tiền của người bán vé trực tiếp trong ngày quay số, mở thưởng. Qua đó cho thấy thời gian chậm thanh toán của đại lý xổ số hiện nay chưa phù hợp, chưa đảm bảo huy động kịp thời nguồn thu xổ số kiến thiết vào NSNN.</w:t>
            </w:r>
          </w:p>
        </w:tc>
        <w:tc>
          <w:tcPr>
            <w:tcW w:w="3827" w:type="dxa"/>
          </w:tcPr>
          <w:p w14:paraId="612EBC89"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xem xét sửa đổi quy định tại điểm a khoản 1 Điều 19 Thông tư 75/2013/TT-BTC ngày 04/6/20213 quy định về kỳ hạn nợ theo hướng phù hợp với tiến độ thu tiền hàng ngày của đại lý hoặc giảm thời gian đại lý được chậm thanh toán tiền vé số nhằm nâng cao hiệu quả quản lý đối với hoạt động kinh doanh xổ số.</w:t>
            </w:r>
          </w:p>
        </w:tc>
        <w:tc>
          <w:tcPr>
            <w:tcW w:w="2126" w:type="dxa"/>
          </w:tcPr>
          <w:p w14:paraId="612EBC8B" w14:textId="102DCB0E"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quản lý, sử dụng nguồn thu xổ số kiến thiết giai đoạn 2022-2024 của tỉnh Bạc Liêu</w:t>
            </w:r>
          </w:p>
        </w:tc>
      </w:tr>
      <w:tr w:rsidR="00A40329" w:rsidRPr="00E24264" w14:paraId="612EBC9A" w14:textId="77777777" w:rsidTr="00A40329">
        <w:trPr>
          <w:cantSplit/>
          <w:trHeight w:val="231"/>
        </w:trPr>
        <w:tc>
          <w:tcPr>
            <w:tcW w:w="559" w:type="dxa"/>
            <w:vMerge/>
          </w:tcPr>
          <w:p w14:paraId="612EBC8F" w14:textId="77777777" w:rsidR="00A40329" w:rsidRPr="00E24264" w:rsidRDefault="00A40329" w:rsidP="001E065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vMerge/>
          </w:tcPr>
          <w:p w14:paraId="612EBC90"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1" w:type="dxa"/>
            <w:vMerge/>
          </w:tcPr>
          <w:p w14:paraId="612EBC91"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1" w:type="dxa"/>
            <w:vMerge/>
          </w:tcPr>
          <w:p w14:paraId="612EBC92"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5672" w:type="dxa"/>
          </w:tcPr>
          <w:p w14:paraId="612EBC9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Đối với Quỹ dự phòng rủi ro trả thưởng, trong giai đoạn 2022-2024 tỷ lệ tiêu thụ vé số truyền thống đạt gần 100% vé số phát hành, với tỷ lệ trả thưởng mỗi đợt phát hành tối đa là 50% trên tổng giá trị vé xổ số phát hành</w:t>
            </w:r>
          </w:p>
        </w:tc>
        <w:tc>
          <w:tcPr>
            <w:tcW w:w="3827" w:type="dxa"/>
          </w:tcPr>
          <w:p w14:paraId="612EBC94"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xem xét sửa đổi quy định tại điểm a khoản 1 Điều 19 Thông tư 75/2013/TT-BTC ngày 04/6/2013 quy định về kỳ hạn nợ theo hướng phù hợp với tiến độ thu tiền hàng ngày của đại lý hoặc giảm thời gian đại lý được chậm thanh toán tiền vé số nhằm nâng cao hiệu quả quản lý đối với hoạt động kinh doanh xổ số</w:t>
            </w:r>
          </w:p>
        </w:tc>
        <w:tc>
          <w:tcPr>
            <w:tcW w:w="2126" w:type="dxa"/>
          </w:tcPr>
          <w:p w14:paraId="612EBC9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Chuyên đề việc quản lý, sử dụng nguồn thu </w:t>
            </w:r>
          </w:p>
          <w:p w14:paraId="612EBC9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xổ số kiến thiết giai đoạn 2022-2024 </w:t>
            </w:r>
          </w:p>
          <w:p w14:paraId="612EBC9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của tỉnh Kiên Giang</w:t>
            </w:r>
          </w:p>
        </w:tc>
      </w:tr>
      <w:tr w:rsidR="00A40329" w:rsidRPr="00E24264" w14:paraId="43416578" w14:textId="77777777" w:rsidTr="00A40329">
        <w:trPr>
          <w:cantSplit/>
          <w:trHeight w:val="231"/>
        </w:trPr>
        <w:tc>
          <w:tcPr>
            <w:tcW w:w="559" w:type="dxa"/>
            <w:vMerge/>
          </w:tcPr>
          <w:p w14:paraId="18E7600F"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vMerge/>
          </w:tcPr>
          <w:p w14:paraId="7F5CDCA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p>
        </w:tc>
        <w:tc>
          <w:tcPr>
            <w:tcW w:w="851" w:type="dxa"/>
            <w:vMerge/>
          </w:tcPr>
          <w:p w14:paraId="288A4EF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p>
        </w:tc>
        <w:tc>
          <w:tcPr>
            <w:tcW w:w="851" w:type="dxa"/>
            <w:vMerge/>
          </w:tcPr>
          <w:p w14:paraId="5D03E7B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p>
        </w:tc>
        <w:tc>
          <w:tcPr>
            <w:tcW w:w="5672" w:type="dxa"/>
          </w:tcPr>
          <w:p w14:paraId="79DE3C96" w14:textId="1DCB1A9C"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Về kỳ hạn nợ: Hiện nay các đại lý bán xổ số không phải đầu tư nguồn vốn kinh doanh (chỉ thế chấp tài sản hoặc ký quỹ) nhưng được chậm thanh toán tiền vé số, được thanh toán không quá 21 ngày (tương đương 03 kỳ vé số) theo quy định tại Thông tư số 75/2013/TT-BTC ngày 04/6/2013 của Bộ Tài chính hướng dẫn chi tiết về hoạt động kinh doanh xổ số, nhưng thực tế khi bán vé số thì các đại lý có thu tiền của người bán vé trực tiếp trong ngày quay số, mở thưởng. Qua đó cho thấy thời gian chậm thanh toán của đại lý xổ số hiện nay chưa phù hợp, chưa đảm bảo huy động kịp thời nguồn thu XSKT vào NSNN.</w:t>
            </w:r>
          </w:p>
        </w:tc>
        <w:tc>
          <w:tcPr>
            <w:tcW w:w="3827" w:type="dxa"/>
          </w:tcPr>
          <w:p w14:paraId="5DC73B27" w14:textId="0EF5F913"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xem xét sửa đổi quy định tại điểm a khoản 1 Điều 19 Thông tư 75/2013/TT-BTC ngày 04/6/20213 quy định về kỳ hạn nợ theo hướng phù hợp với tiến độ thu tiền hàng ngày của đại lý hoặc giảm thời gian đại lý được chậm thanh toán tiền vé số nhằm nâng cao hiệu quả quản lý đối với hoạt động kinh doanh xổ số.</w:t>
            </w:r>
          </w:p>
        </w:tc>
        <w:tc>
          <w:tcPr>
            <w:tcW w:w="2126" w:type="dxa"/>
          </w:tcPr>
          <w:p w14:paraId="3F354054" w14:textId="0E04B6B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quản lý, sử dụng nguồn thu xổ số kiến thiết giai đoạn 2022 - 2024 tại tỉnh Tây Ninh; Báo cáo kiểm toán Chuyên đề việc quản lý, sử dụng nguồn thu xổ số kiến thiết giai đoạn 2022 - 2024 tại tỉnh Long An</w:t>
            </w:r>
          </w:p>
        </w:tc>
      </w:tr>
      <w:tr w:rsidR="00A40329" w:rsidRPr="00E24264" w14:paraId="612EBCA5" w14:textId="77777777" w:rsidTr="00A40329">
        <w:trPr>
          <w:cantSplit/>
          <w:trHeight w:val="231"/>
        </w:trPr>
        <w:tc>
          <w:tcPr>
            <w:tcW w:w="559" w:type="dxa"/>
          </w:tcPr>
          <w:p w14:paraId="612EBC9B"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9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Xây dựng </w:t>
            </w:r>
          </w:p>
        </w:tc>
        <w:tc>
          <w:tcPr>
            <w:tcW w:w="851" w:type="dxa"/>
          </w:tcPr>
          <w:p w14:paraId="612EBC9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44/2021/TT-BGTVT ngày 31/12/2021</w:t>
            </w:r>
          </w:p>
        </w:tc>
        <w:tc>
          <w:tcPr>
            <w:tcW w:w="851" w:type="dxa"/>
          </w:tcPr>
          <w:p w14:paraId="612EBC9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9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một số mã hiệu định mức về quản lý, BDTX cầu có quy định về thành phần hao phí định mức tương ứng đối với từng khoảng giá trị theo chiều dài cầu, tuy nhiên, đối với cầu có chiều dài là 50m, 100m, 200m là giá trị cận trên và cận dưới đều thuộc 2 khoảng giá trị có thành phần hao phí về vật liệu, nhân công, máy khác nhau, dẫn đến khó khăn trong việc xác định định mức hao phí.</w:t>
            </w:r>
          </w:p>
          <w:p w14:paraId="612EBCA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(ii) Một số mã hiệu định mức công tác quản lý, BDTX cầu lớn (L≥300m), cầu dây văng, dây võng khẩu độ lớn và mã hiệu định mức công tác quản lý, BDTX cầu có chiều dài nhỏ hơn và bằng 300 m có mã hiệu giống nhau, dẫn đến khó khăn trong công tác tra cứu, áp dụng mã hiệu.</w:t>
            </w:r>
          </w:p>
        </w:tc>
        <w:tc>
          <w:tcPr>
            <w:tcW w:w="3827" w:type="dxa"/>
          </w:tcPr>
          <w:p w14:paraId="612EBCA1"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44/2021/TT-BGTVT ngày 31/12/2021 quy định một số mã hiệu định mức thành phần hao phí theo chiều dài cầu (50m, 100m, 200m) thuộc 2 khoảng giá trị (cận trên, cận dưới); quy định mã hiệu định mức công tác quản lý, bảo dưỡng thường xuyên cầu lớn (L≥300m), cầu dây văng, dây võng khẩu độ lớn và mã hiệu định mức công tác quản lý, bảo dưỡng thường xuyên cầu có chiều dài nhỏ hơn và bằng 300 m có mã hiệu giống nhau; thiếu một số định mức công việc bảo dưỡng thường xuyên đường bộ cao tốc; quy định tiêu chí áp dụng định mức chưa hợp lý; dẫn chiếu tiêu chuẩn đã hết hiệu lực để thực hiện điều chỉnh khi xây dựng, ban hành các quy định sửa đổi, bổ sung, thay thế.</w:t>
            </w:r>
          </w:p>
        </w:tc>
        <w:tc>
          <w:tcPr>
            <w:tcW w:w="2126" w:type="dxa"/>
          </w:tcPr>
          <w:p w14:paraId="612EBCA2" w14:textId="3C3D4C49"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công tác quản lý, sử dụng kinh phí chi hoạt động kinh tế đường bộ giai đoạn 2023-2024 tại Bộ Xây dựng (Bộ Giao thông vận tải)</w:t>
            </w:r>
          </w:p>
        </w:tc>
      </w:tr>
      <w:tr w:rsidR="00A40329" w:rsidRPr="00E24264" w14:paraId="612EBCAF" w14:textId="77777777" w:rsidTr="00A40329">
        <w:trPr>
          <w:cantSplit/>
          <w:trHeight w:val="231"/>
        </w:trPr>
        <w:tc>
          <w:tcPr>
            <w:tcW w:w="559" w:type="dxa"/>
          </w:tcPr>
          <w:p w14:paraId="612EBCA6"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A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Bộ Xây dựng </w:t>
            </w:r>
          </w:p>
        </w:tc>
        <w:tc>
          <w:tcPr>
            <w:tcW w:w="851" w:type="dxa"/>
          </w:tcPr>
          <w:p w14:paraId="612EBCA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39/2020/TT-BGTVT ngày 31/12/2020</w:t>
            </w:r>
          </w:p>
        </w:tc>
        <w:tc>
          <w:tcPr>
            <w:tcW w:w="851" w:type="dxa"/>
          </w:tcPr>
          <w:p w14:paraId="612EBCA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A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Vướng mắc về hướng dẫn tính chi phí dự phòng do trượt giá: Tại Điều 12 Thông tư số 39/2020/TT-BGTVT ngày 31/12/2020 của Bộ GTVT có quy định về điều chỉnh phương án giá. Tuy nhiên, tại biểu số 01 (Phụ lục 01) của Thông tư này chưa có quy định hướng dẫn cách tính toán, xác định chi phí dự phòng do yếu tố trượt giá làm cơ sở xác định giá dịch vụ sự nghiệp công đường bộ khi có điều chỉnh.</w:t>
            </w:r>
          </w:p>
        </w:tc>
        <w:tc>
          <w:tcPr>
            <w:tcW w:w="3827" w:type="dxa"/>
          </w:tcPr>
          <w:p w14:paraId="612EBCAB"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39/2020/TT-BGTVT ngày 31/12/2020 của Bộ GTVT chưa hướng dẫn cách tính toán, xác định chi phí dự phòng do yếu tố trượt giá làm cơ sở xác định giá dịch vụ sự nghiệp công đường bộ khi có điều chỉnh. Nghiên cứu, rà soát, ban hành hướng dẫn xác định giá dịch vụ công đối với hợp đồng bảo dưỡng thường xuyên kết cấu hạ tầng đường bộ với thời gian thực hiện kéo dài qua nhiều năm.</w:t>
            </w:r>
          </w:p>
        </w:tc>
        <w:tc>
          <w:tcPr>
            <w:tcW w:w="2126" w:type="dxa"/>
          </w:tcPr>
          <w:p w14:paraId="612EBCAC" w14:textId="3F8E7E5F"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công tác quản lý, sử dụng kinh phí chi hoạt động kinh tế đường bộ giai đoạn 2023-2024 tại Bộ Xây dựng (Bộ Giao thông vận tải)</w:t>
            </w:r>
          </w:p>
        </w:tc>
      </w:tr>
      <w:tr w:rsidR="00A40329" w:rsidRPr="00E24264" w14:paraId="612EBCB9" w14:textId="77777777" w:rsidTr="00A40329">
        <w:trPr>
          <w:cantSplit/>
          <w:trHeight w:val="231"/>
        </w:trPr>
        <w:tc>
          <w:tcPr>
            <w:tcW w:w="559" w:type="dxa"/>
            <w:vMerge w:val="restart"/>
          </w:tcPr>
          <w:p w14:paraId="612EBCB0"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vMerge w:val="restart"/>
          </w:tcPr>
          <w:p w14:paraId="612EBCB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vMerge w:val="restart"/>
          </w:tcPr>
          <w:p w14:paraId="612EBCB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41/2024/TT-BGTV</w:t>
            </w:r>
            <w:r w:rsidRPr="00E24264">
              <w:rPr>
                <w:rFonts w:ascii="Times New Roman" w:eastAsia="Times New Roman" w:hAnsi="Times New Roman" w:cs="Times New Roman"/>
                <w:sz w:val="20"/>
                <w:szCs w:val="20"/>
              </w:rPr>
              <w:lastRenderedPageBreak/>
              <w:t>T ngày 15/11/2024</w:t>
            </w:r>
          </w:p>
        </w:tc>
        <w:tc>
          <w:tcPr>
            <w:tcW w:w="851" w:type="dxa"/>
            <w:vMerge w:val="restart"/>
          </w:tcPr>
          <w:p w14:paraId="612EBCB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 bổ sung</w:t>
            </w:r>
          </w:p>
        </w:tc>
        <w:tc>
          <w:tcPr>
            <w:tcW w:w="5672" w:type="dxa"/>
          </w:tcPr>
          <w:p w14:paraId="612EBCB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Theo quy định tại Thông tư số 41/2024/TT-BGTVT một số công việc trong kế hoạch quản lý, vận hành, khai thác, bảo trì kết cấu hạ tầng đường bộ nhưng lại không tương đồng các nội dung chi kinh phí quản lý, bảo trì đường bộ tại Thông tư số 60/2017/TT-BTC, cụ thể: b) Quản lý, vận hành, khai thác, sử dụng công trình đường bộ, </w:t>
            </w:r>
            <w:r w:rsidRPr="00E24264">
              <w:rPr>
                <w:rFonts w:ascii="Times New Roman" w:eastAsia="Times New Roman" w:hAnsi="Times New Roman" w:cs="Times New Roman"/>
                <w:sz w:val="20"/>
                <w:szCs w:val="20"/>
              </w:rPr>
              <w:lastRenderedPageBreak/>
              <w:t>hệ thống chiếu sáng trên đường bộ và các hạng mục, bộ phận, thiết bị gắn với đường bộ phục vụ khai thác công trình đường bộ; k) Mua sắm bổ sung vật tư, thiết bị dự phòng phục vụ phòng chống, khắc phục hậu quả thiên tai…</w:t>
            </w:r>
          </w:p>
        </w:tc>
        <w:tc>
          <w:tcPr>
            <w:tcW w:w="3827" w:type="dxa"/>
          </w:tcPr>
          <w:p w14:paraId="612EBCB5"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Nghiên cứu, rà soát để thực hiện sửa đổi, bổ sung một số bất cập trong các quy định: Thông tư số 41/2024/TT-BGTVT ngày 15/11/2024 chưa có quy định cụ thể về: Tiêu </w:t>
            </w:r>
            <w:r w:rsidRPr="00E24264">
              <w:rPr>
                <w:rFonts w:ascii="Times New Roman" w:eastAsia="Times New Roman" w:hAnsi="Times New Roman" w:cs="Times New Roman"/>
                <w:sz w:val="20"/>
                <w:szCs w:val="20"/>
              </w:rPr>
              <w:lastRenderedPageBreak/>
              <w:t>chí quản lý, BDTX hạng mục nhà hạt và bảo quản vật tư dự phòng.</w:t>
            </w:r>
          </w:p>
        </w:tc>
        <w:tc>
          <w:tcPr>
            <w:tcW w:w="2126" w:type="dxa"/>
            <w:vMerge w:val="restart"/>
          </w:tcPr>
          <w:p w14:paraId="612EBCB6" w14:textId="16BFE77D"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Hoạt động công tác quản lý, sử dụng kinh phí chi hoạt động kinh tế đường bộ giai đoạn 2023-2024 tại Bộ Xây </w:t>
            </w:r>
            <w:r w:rsidRPr="00E24264">
              <w:rPr>
                <w:rFonts w:ascii="Times New Roman" w:eastAsia="Times New Roman" w:hAnsi="Times New Roman" w:cs="Times New Roman"/>
                <w:sz w:val="20"/>
                <w:szCs w:val="20"/>
              </w:rPr>
              <w:lastRenderedPageBreak/>
              <w:t>dựng (Bộ Giao thông vận tải)</w:t>
            </w:r>
          </w:p>
        </w:tc>
      </w:tr>
      <w:tr w:rsidR="00A40329" w:rsidRPr="00E24264" w14:paraId="612EBCC3" w14:textId="77777777" w:rsidTr="00A40329">
        <w:trPr>
          <w:cantSplit/>
          <w:trHeight w:val="231"/>
        </w:trPr>
        <w:tc>
          <w:tcPr>
            <w:tcW w:w="559" w:type="dxa"/>
            <w:vMerge/>
          </w:tcPr>
          <w:p w14:paraId="612EBCBA" w14:textId="77777777" w:rsidR="00A40329" w:rsidRPr="00E24264" w:rsidRDefault="00A40329" w:rsidP="001E065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vMerge/>
          </w:tcPr>
          <w:p w14:paraId="612EBCBB"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1" w:type="dxa"/>
            <w:vMerge/>
          </w:tcPr>
          <w:p w14:paraId="612EBCBC"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51" w:type="dxa"/>
            <w:vMerge/>
          </w:tcPr>
          <w:p w14:paraId="612EBCBD"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5672" w:type="dxa"/>
          </w:tcPr>
          <w:p w14:paraId="612EBCB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định về lập, thẩm định, phê duyệt KHBT : “Trong vòng 15 ngày kể từ ngày được cấp có thẩm quyền giao hoặc thông báo dự toán thu, chi ngân sách nhà nước, Bộ Giao thông vận tải thẩm định, phê duyệt kế hoạch bảo trì của năm sau”; do quy định này nên KHBT hàng năm đều ban hành sát thời gian thực hiện (phê duyệt vào nửa sau tháng 12 năm trước, sau khoảng 6 tháng kể từ ngày Bộ Xây dựng (Bộ GTVT) chấp thuận danh mục công trình chuẩn bị đầu tư cho năm sau”. Mặt khác, các quy định căn cứ  về quản lý, vận hành, khai thác và bảo trì kết cấu hạ tầng đường bộ không có quy định về việc thẩm định, phê duyệt KHBT phụ thuộc vào thời gian giao hoặc thông báo dự toán thu, chi ngân sách nhà nước.</w:t>
            </w:r>
          </w:p>
        </w:tc>
        <w:tc>
          <w:tcPr>
            <w:tcW w:w="3827" w:type="dxa"/>
          </w:tcPr>
          <w:p w14:paraId="612EBCBF"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Nghiên cứu, rà soát sự cần thiết đối với quy định về lập, thẩm định, phê duyệt KHBT tại Thông tư số 41/2024/TT-BGTVT quy định phụ thuộc vào thời gian giao hoặc thông báo dự toán thu, chi ngân sách nhà nước của cấp có thẩm quyền để có điều chỉnh hợp lý, rút ngắn thủ tục, thời gian thẩm định, phê duyệt và ban hành KHBT hàng năm.</w:t>
            </w:r>
          </w:p>
        </w:tc>
        <w:tc>
          <w:tcPr>
            <w:tcW w:w="2126" w:type="dxa"/>
            <w:vMerge/>
          </w:tcPr>
          <w:p w14:paraId="612EBCC0" w14:textId="77777777" w:rsidR="00A40329" w:rsidRPr="00E24264" w:rsidRDefault="00A40329" w:rsidP="001E0652">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A40329" w:rsidRPr="00E24264" w14:paraId="612EBCD7" w14:textId="77777777" w:rsidTr="00A40329">
        <w:trPr>
          <w:cantSplit/>
          <w:trHeight w:val="231"/>
        </w:trPr>
        <w:tc>
          <w:tcPr>
            <w:tcW w:w="559" w:type="dxa"/>
          </w:tcPr>
          <w:p w14:paraId="612EBCCE"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C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CD0" w14:textId="75E6022D"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203/2014/TT-BTC ngày 22/12/2014</w:t>
            </w:r>
          </w:p>
        </w:tc>
        <w:tc>
          <w:tcPr>
            <w:tcW w:w="851" w:type="dxa"/>
          </w:tcPr>
          <w:p w14:paraId="612EBCD1" w14:textId="5B704B6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D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Căn cứ theo Điều 12 Thông tư số 203/2014/TT-BTC ngày 22/12/2014 về hướng dẫn xử lý hàng hóa tồn đọng thuộc địa bàn hoạt động hải quan, Hội đồng xử lý hàng hóa tồn đọng thực hiện kiểm kê, phân loại (bao gồm hoạt động trưng cầu giám định) xác định phương án xử lý đối với phế liệu tồn đọng không đủ điều kiện nhập khẩu. Tuy nhiên hiện nay cơ quan Hải quan không xác định được lô hàng phế liệu có phải chất thải nguy hại hay không để làm căn cứ xử lý theo quy định về BVMT dẫn đến phương án xử lý phế liệu tồn đọng không đủ điều kiện nhập khẩu phế liệu chưa được soát xét đến yếu tố đảm bảo việc lưu kho, lưu bãi, xử lý theo quy định của quản lý chất thải theo từng loại chất thải tương ứng.</w:t>
            </w:r>
          </w:p>
        </w:tc>
        <w:tc>
          <w:tcPr>
            <w:tcW w:w="3827" w:type="dxa"/>
          </w:tcPr>
          <w:p w14:paraId="612EBCD3"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sửa đổi Thông tư số 203/2014/TT-BTC bổ sung quy định chi tiết đối với việc kiểm kê, phân loại hàng hóa tồn đọng là phế liệu nhập khẩu (yêu cầu phân loại chất thải đối với hàng hóa không đủ điều kiện nhập khẩu) và phối hợp với Bộ Nông nghiệp và Môi trường để có phương án xác định ngưỡng chất thải nguy hại đối với phế liệu nhập khẩu không đủ điều kiện làm căn cứ xử lý theo quy định về BVMT.</w:t>
            </w:r>
          </w:p>
        </w:tc>
        <w:tc>
          <w:tcPr>
            <w:tcW w:w="2126" w:type="dxa"/>
          </w:tcPr>
          <w:p w14:paraId="612EBCD4" w14:textId="04E596F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Công tác quản lý, bảo vệ môi trường đối với các cơ sở nhập khẩu phế liệu từ nước ngoài làm nguyên liệu sản xuất giai đoạn 2022 - 2024</w:t>
            </w:r>
          </w:p>
        </w:tc>
      </w:tr>
      <w:tr w:rsidR="00A40329" w:rsidRPr="00E24264" w14:paraId="7F20DB4A" w14:textId="77777777" w:rsidTr="00A40329">
        <w:trPr>
          <w:cantSplit/>
          <w:trHeight w:val="231"/>
        </w:trPr>
        <w:tc>
          <w:tcPr>
            <w:tcW w:w="559" w:type="dxa"/>
          </w:tcPr>
          <w:p w14:paraId="7CA3C38B"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31919EF6" w14:textId="00DCBA6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3A8C19C3" w14:textId="3280C75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80/2021/TT-BTC ngày 29/9/2021</w:t>
            </w:r>
          </w:p>
        </w:tc>
        <w:tc>
          <w:tcPr>
            <w:tcW w:w="851" w:type="dxa"/>
          </w:tcPr>
          <w:p w14:paraId="2BC511E0" w14:textId="6A35B5E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298FCB7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điểm d khoản 2.2 Mục III Phần II Quyết định số 970/QĐ-TCT ngày 14/07/2023 có nêu:“ Trường hợp trong quá trình kiểm tra thuế hoặc khi kết thúc kiểm tra mà phát hiện hành vi trốn thuế có dấu hiệu tội phạm thì trong thời hạn 5 (năm) ngày làm việc kể từ ngày phát hiện hành vi vi phạm, Trưởng đoàn kiểm tra có trách nhiệm báo cáo Lãnh đạo bộ phận kiểm tra thuế trình Thủ trưởng cơ quan thuế xem xét chuyển hồ sơ sang cơ quan điều tra theo quy định của pháp luật.”</w:t>
            </w:r>
          </w:p>
          <w:p w14:paraId="0C7DC8D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điểm e.2 khoản 5 Điều 72 Thông tư số 80/2021/TT-BTC ngày 29/9/2021 của Bộ Tài chính quy định:“ Trường hợp qua kiểm tra thuế mà phát hiện hành vi vi phạm về thuế có dấu hiệu trốn thuế, gian lận về thuế thì trong thời hạn 05 ngày làm việc kể từ ngày kết thúc kiểm tra, đoàn kiểm tra có trách nhiệm báo cáo Thủ trưởng cơ quan thuế để xem xét tiến hành thanh tra hoặc chuyển hồ sơ kiểm tra sang cơ quan điều tra theo quy định của pháp luật.”,</w:t>
            </w:r>
          </w:p>
          <w:p w14:paraId="424B9584" w14:textId="508D7D99"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Như vậy, theo Quyết định số 970/QĐ-TCT ngày 14/07/2023 của Tổng cục trưởng Tổng cục Thuế khi kết thúc kiểm tra mà phát hiện hành vi trốn thuế có dấu hiệu tội phạm thì xem xét chuyển hồ sơ sang cơ quan điều tra; còn Thông tư số 80/2021/TT-BTC ngày 29/9/2021 của Bộ Tài chính khi phát hiện hành vi vi phạm về thuế có dấu hiệu trốn thuế, gian lận về thuế để xem xét tiến hành thanh tra hoặc chuyển hồ sơ kiểm tra sang cơ quan điều tra theo quy định của pháp luật. Từ đó cho thấy Quyết định số 970/QĐ-TCT ngày 14/07/2023 còn có nội dung chưa thống nhất với Thông tư số 80/2021/TT-BTC</w:t>
            </w:r>
          </w:p>
        </w:tc>
        <w:tc>
          <w:tcPr>
            <w:tcW w:w="3827" w:type="dxa"/>
          </w:tcPr>
          <w:p w14:paraId="68B3CC4E" w14:textId="5F182C99"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Rà soát sửa đổi, bổ sung quy định tại điểm c khoản 5 Điều 72 Thông tư 80/2021/TT-BTC quy định về thời gian “</w:t>
            </w:r>
            <w:r w:rsidRPr="00E24264">
              <w:rPr>
                <w:rFonts w:ascii="Times New Roman" w:eastAsia="Times New Roman" w:hAnsi="Times New Roman" w:cs="Times New Roman"/>
                <w:i/>
                <w:iCs/>
                <w:sz w:val="20"/>
                <w:szCs w:val="20"/>
              </w:rPr>
              <w:t>Hoãn kiểm tra trước khi công bố Quyết định kiểm tra, tạm dừng kiểm tra trong quá trình kiểm tra</w:t>
            </w:r>
            <w:r w:rsidRPr="00E24264">
              <w:rPr>
                <w:rFonts w:ascii="Times New Roman" w:eastAsia="Times New Roman" w:hAnsi="Times New Roman" w:cs="Times New Roman"/>
                <w:sz w:val="20"/>
                <w:szCs w:val="20"/>
              </w:rPr>
              <w:t>” nhằm quy định chặt chẽ về việc xác định thời gian hoãn tiến hành kiểm tra, việc giới hạn tổng thể thời gian tạm hoãn kiểm tra.</w:t>
            </w:r>
          </w:p>
        </w:tc>
        <w:tc>
          <w:tcPr>
            <w:tcW w:w="2126" w:type="dxa"/>
          </w:tcPr>
          <w:p w14:paraId="54B1C6FE" w14:textId="20A234AB"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và Chuyên đề việc thực hiện các chính sách ưu đãi đầu tư tại Khu kinh tế, Khu công nghiệp giai đoạn 2022-2024 tại tỉnh Cà Mau</w:t>
            </w:r>
          </w:p>
        </w:tc>
      </w:tr>
      <w:tr w:rsidR="00A40329" w:rsidRPr="00E24264" w14:paraId="11FA78D2" w14:textId="77777777" w:rsidTr="00A40329">
        <w:trPr>
          <w:cantSplit/>
          <w:trHeight w:val="231"/>
        </w:trPr>
        <w:tc>
          <w:tcPr>
            <w:tcW w:w="559" w:type="dxa"/>
          </w:tcPr>
          <w:p w14:paraId="55934EF8"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0F49597D" w14:textId="06537FD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Y tế</w:t>
            </w:r>
          </w:p>
        </w:tc>
        <w:tc>
          <w:tcPr>
            <w:tcW w:w="851" w:type="dxa"/>
          </w:tcPr>
          <w:p w14:paraId="0BFAB847" w14:textId="07C5C32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Thông tư số 20/2021/TT-BYT</w:t>
            </w:r>
            <w:r w:rsidRPr="00E24264">
              <w:rPr>
                <w:rFonts w:ascii="Times New Roman" w:eastAsia="Times New Roman" w:hAnsi="Times New Roman" w:cs="Times New Roman"/>
                <w:sz w:val="20"/>
                <w:szCs w:val="20"/>
              </w:rPr>
              <w:t xml:space="preserve"> ngày 26/11/2021</w:t>
            </w:r>
          </w:p>
        </w:tc>
        <w:tc>
          <w:tcPr>
            <w:tcW w:w="851" w:type="dxa"/>
          </w:tcPr>
          <w:p w14:paraId="2C7C212F" w14:textId="7BE2E9C8"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3111D40E" w14:textId="4B2F94CB"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20/2021/TT-BYT được Bộ Y tế ban hành ngày 26/11/2021 trước thời điểm Chính phủ ban hành Nghị định số 08/2022/NĐ-CP ngày 10/01/2022 và Bộ TN&amp;MT ban hành Thông tư số 02/2022/TT-BTNMT ngày 10/01/2022, dẫn đến các quy định về quản lý chất thải còn có sự khác biệt, trong đó có nội dung chưa có sự thống nhất về quan điểm, cách thức quản lý chất thải giữa Bộ Y tế với Bộ Tài nguyên và Môi trường ; có nội dung Bộ Y tế hướng dẫn chưa phù hợp nhưng chưa rà soát, sửa đổi.</w:t>
            </w:r>
          </w:p>
        </w:tc>
        <w:tc>
          <w:tcPr>
            <w:tcW w:w="3827" w:type="dxa"/>
          </w:tcPr>
          <w:p w14:paraId="1400D79C" w14:textId="7B6C0264"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Nghiên cứu, rà soát để sửa đổi, bổ sung Thông tư số 20/2021/TT-BYT ngày 26/11/2021 của Bộ Y tế về quản lý chất thải y tế trong phạm vi khuôn viên cơ sở y tế bảo đảm phù hợp với các quy định về bảo vệ môi trường hiện hành. Phối hợp với Bộ Nông nghiệp và Môi trường để làm rõ, thống nhất các nội dung còn khó khăn, vướng mắc (nếu có), báo cáo cấp có thẩm quyền xem xét, quyết định đối với các vấn đề vượt thẩm quyền của Bộ.</w:t>
            </w:r>
          </w:p>
        </w:tc>
        <w:tc>
          <w:tcPr>
            <w:tcW w:w="2126" w:type="dxa"/>
          </w:tcPr>
          <w:p w14:paraId="7F5C29D3" w14:textId="55ECA590"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C</w:t>
            </w:r>
            <w:r w:rsidRPr="00E24264">
              <w:rPr>
                <w:rFonts w:ascii="Times New Roman" w:eastAsia="Times New Roman" w:hAnsi="Times New Roman" w:cs="Times New Roman"/>
                <w:sz w:val="20"/>
                <w:szCs w:val="20"/>
                <w:lang w:val="vi-VN"/>
              </w:rPr>
              <w:t>ông tác quản lý chất thải y tế các bệnh viện thuộc Bộ Y tế giai đoạn 2022-2024</w:t>
            </w:r>
          </w:p>
        </w:tc>
      </w:tr>
      <w:tr w:rsidR="00A40329" w:rsidRPr="00E24264" w14:paraId="612EBCE1" w14:textId="77777777" w:rsidTr="00A40329">
        <w:trPr>
          <w:cantSplit/>
          <w:trHeight w:val="231"/>
        </w:trPr>
        <w:tc>
          <w:tcPr>
            <w:tcW w:w="559" w:type="dxa"/>
          </w:tcPr>
          <w:p w14:paraId="612EBCD8"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D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CDA" w14:textId="4B6E17D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số 128/2021/TT-BTC ngày 31/12/2021</w:t>
            </w:r>
          </w:p>
        </w:tc>
        <w:tc>
          <w:tcPr>
            <w:tcW w:w="851" w:type="dxa"/>
          </w:tcPr>
          <w:p w14:paraId="612EBCDB" w14:textId="608AB30D"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D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khoản 1 Điều 9 Thông tư số 128/2021/TT-BTC chưa quy định cụ thể xếp loại của VDB đối với tiêu chí 1 - Tín dụng đầu tư Nhà nước khi chỉ tiêu kế hoạch tín dụng đầu tư của Nhà nước hoàn thành dưới 80% (cụ thể là 0% trong năm 2024) trong khi chỉ tiêu kế hoạch thu nợ gốc, lãi do Bộ Tài chính giao hoàn thành trên 90% (cụ thể là 111% trong năm 2024), do đó chưa có cơ sở xếp loại đối với VDB ở tiêu chí này</w:t>
            </w:r>
          </w:p>
        </w:tc>
        <w:tc>
          <w:tcPr>
            <w:tcW w:w="3827" w:type="dxa"/>
          </w:tcPr>
          <w:p w14:paraId="612EBCDD"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bổ sung quy định tại khoản 1 Điều 9 Thông tư số 128/2021/TT-BTC theo hướng quy định cụ thể cách đánh giá xếp loại của VDB khi chỉ tiêu kế hoạch tín dụng đầu tư của Nhà nước hoàn thành dưới 80% trong khi chỉ tiêu kế hoạch thu nợ gốc, lãi do Bộ Tài chính giao hoàn thành trên 90% và các trường hợp khác (nếu có) chưa được quy định</w:t>
            </w:r>
          </w:p>
        </w:tc>
        <w:tc>
          <w:tcPr>
            <w:tcW w:w="2126" w:type="dxa"/>
          </w:tcPr>
          <w:p w14:paraId="612EBCDE" w14:textId="5961FA0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Báo cáo tài chính, các hoạt động liên quan đến quản lý, sử dụng vốn, tài sản nhà nước năm 2024 của Ngân hàng Phát triển Việt Nam (VDB)</w:t>
            </w:r>
          </w:p>
        </w:tc>
      </w:tr>
      <w:tr w:rsidR="00A40329" w:rsidRPr="00E24264" w14:paraId="612EBCF5" w14:textId="77777777" w:rsidTr="00A40329">
        <w:trPr>
          <w:cantSplit/>
          <w:trHeight w:val="231"/>
        </w:trPr>
        <w:tc>
          <w:tcPr>
            <w:tcW w:w="559" w:type="dxa"/>
          </w:tcPr>
          <w:p w14:paraId="612EBCEC"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612EBCE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 Bộ Khoa học và Công nghệ</w:t>
            </w:r>
          </w:p>
        </w:tc>
        <w:tc>
          <w:tcPr>
            <w:tcW w:w="851" w:type="dxa"/>
          </w:tcPr>
          <w:p w14:paraId="612EBCEE" w14:textId="4539B4D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19/2012/TTLT-BTC-BKH&amp;ĐT-BTTTT ngày 15/02/2012</w:t>
            </w:r>
          </w:p>
        </w:tc>
        <w:tc>
          <w:tcPr>
            <w:tcW w:w="851" w:type="dxa"/>
          </w:tcPr>
          <w:p w14:paraId="612EBCEF" w14:textId="049159F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CF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liên tịch số 19/2012/TTLT-BTC-BKH&amp;ĐT-BTTTT quy định, hướng dẫn căn cứ trên các văn bản hầu như hiện nay đã được thay thế, sửa đổi bằng các văn bản khác. Thực tế, nội dung công việc Nhà thầu đã thực hiện nhiều hơn các bước  trong dự toán.  Mặt khác, Thông tư liên tịch số 19/2012/TTLT-BTC-BKH&amp;ĐT-BTTTT của Liên Bộ Bộ Tài chính - Bộ Kế hoạch và Đầu tư - Bộ Thông tin và Truyền thông còn bất cập như sau: quy định tại điểm e khoản 1 Điều 8  Thông tư liên tịch số 19/2012/TTLT-BTC-BKH&amp;ĐT-BTTTT chưa phù hợp với quy định tại điểm c khoản 1 Điều 51  Nghị định 73/2019/NĐ-CP ngày 05/9/2019 của Chính phủ.</w:t>
            </w:r>
          </w:p>
        </w:tc>
        <w:tc>
          <w:tcPr>
            <w:tcW w:w="3827" w:type="dxa"/>
          </w:tcPr>
          <w:p w14:paraId="612EBCF1" w14:textId="77777777"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Tài chính chủ trì, phối hợp với Bộ Khoa học và Công nghệ sửa đổi Thông tư liên tịch số 19/2012/TTLT-BTC-BKH&amp;ĐT-BTTTT ngày 15/02/2019 của Liên Bộ Tài chính - Bộ Kế hoạch và Đầu tư - Bộ Thông tin và Truyền thông hướng dẫn việc quản lý và sử dụng kinh phí thực hiện chương trình quốc gia về ứng dụng công nghệ thông tin trong hoạt động của cơ quan nhà nước do một số căn cứ pháp lý đã hết hiệu lực; quy định tại điểm e khoản 1 Điều 8 chưa phù hợp với quy định tại điểm c khoản 1 Điều 51 Nghị định 73/2019/NĐ-CP ngày 05/9/2019 của Chính phủ quy định quản </w:t>
            </w:r>
            <w:r w:rsidRPr="00E24264">
              <w:rPr>
                <w:rFonts w:ascii="Times New Roman" w:eastAsia="Times New Roman" w:hAnsi="Times New Roman" w:cs="Times New Roman"/>
                <w:sz w:val="20"/>
                <w:szCs w:val="20"/>
              </w:rPr>
              <w:lastRenderedPageBreak/>
              <w:t>lý đầu tư ứng dụng công nghệ thông tin sử dụng nguồn vốn ngân sách nhà nước</w:t>
            </w:r>
          </w:p>
        </w:tc>
        <w:tc>
          <w:tcPr>
            <w:tcW w:w="2126" w:type="dxa"/>
          </w:tcPr>
          <w:p w14:paraId="612EBCF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quyết toán ngân sách địa phương năm 2024 của tỉnh Hà Nam  và các chuyên đề lồng ghép</w:t>
            </w:r>
          </w:p>
        </w:tc>
      </w:tr>
      <w:tr w:rsidR="00A40329" w:rsidRPr="00E24264" w14:paraId="54B92F99" w14:textId="77777777" w:rsidTr="00A40329">
        <w:trPr>
          <w:cantSplit/>
          <w:trHeight w:val="231"/>
        </w:trPr>
        <w:tc>
          <w:tcPr>
            <w:tcW w:w="559" w:type="dxa"/>
          </w:tcPr>
          <w:p w14:paraId="17AB4B1C"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216D1F7B" w14:textId="5F7EB5F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Y tế</w:t>
            </w:r>
          </w:p>
        </w:tc>
        <w:tc>
          <w:tcPr>
            <w:tcW w:w="851" w:type="dxa"/>
          </w:tcPr>
          <w:p w14:paraId="725D6EE6" w14:textId="2D97B868"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40/2025/TT-BYT ngày 25/10/2025</w:t>
            </w:r>
          </w:p>
        </w:tc>
        <w:tc>
          <w:tcPr>
            <w:tcW w:w="851" w:type="dxa"/>
          </w:tcPr>
          <w:p w14:paraId="057456C2" w14:textId="60E618A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5B3104DA" w14:textId="37920E1A"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tư 07/2024/TT-BYT ngày 17/05/2024 đã được thay thế bởi Thông tư 40/2025/TT-BYT ngày 25/10/2025 của Bộ Y tế về quy định về đấu thầu thuốc tại cơ sở y tế công lập. Tuy nhiên, nội dung tại Thông tư 40/2025/TT-BYT ngày 25/10/2025 vẫn chưa quy định rõ về việc chấm điểm kỹ thuật đối với các gói thầu của các cơ sở y tế không thuộc danh sách địa bàn miền núi khó khăn (mục 14, phần 4 phụ lục bảng tiêu chuẩn đánh giá về kỹ thuật đối với gói thầu generic)”.</w:t>
            </w:r>
          </w:p>
        </w:tc>
        <w:tc>
          <w:tcPr>
            <w:tcW w:w="3827" w:type="dxa"/>
          </w:tcPr>
          <w:p w14:paraId="0293F7C4" w14:textId="7933C519" w:rsidR="00A40329" w:rsidRPr="00E24264" w:rsidRDefault="00A40329" w:rsidP="001E0652">
            <w:pPr>
              <w:spacing w:after="0" w:line="240" w:lineRule="auto"/>
              <w:ind w:left="-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khi ban hành hướng dẫn hoặc sửa đổi Thông tư 40/2025/TT-BYT ngày 25/10/2025 lưu ý mục 14 Phần 4. Phụ lục Bảng tiêu chuẩn đánh giá về kỹ thuật gói thầu của các cơ sở y tế không thuộc địa bàn các tỉnh trong danh sách địa bàn miền núi, khó khăn.</w:t>
            </w:r>
          </w:p>
        </w:tc>
        <w:tc>
          <w:tcPr>
            <w:tcW w:w="2126" w:type="dxa"/>
          </w:tcPr>
          <w:p w14:paraId="0194C225" w14:textId="0E3A9AAF"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Việc quản lý, sử dụng tài chính công, tài sản công của các bệnh viện công lập giai đoạn 2023 - 2024 trên địa bàn thành phố Hà Nội.</w:t>
            </w:r>
          </w:p>
        </w:tc>
      </w:tr>
      <w:tr w:rsidR="00A40329" w:rsidRPr="00E24264" w14:paraId="3E490B53" w14:textId="77777777" w:rsidTr="00A40329">
        <w:trPr>
          <w:cantSplit/>
          <w:trHeight w:val="231"/>
        </w:trPr>
        <w:tc>
          <w:tcPr>
            <w:tcW w:w="559" w:type="dxa"/>
          </w:tcPr>
          <w:p w14:paraId="09D7948E"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2E6AB4B8" w14:textId="7424A6A3"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Times New Roman" w:hAnsi="Times New Roman" w:cs="Times New Roman"/>
                <w:sz w:val="20"/>
                <w:szCs w:val="20"/>
              </w:rPr>
              <w:t>Bộ Y tế</w:t>
            </w:r>
          </w:p>
        </w:tc>
        <w:tc>
          <w:tcPr>
            <w:tcW w:w="851" w:type="dxa"/>
          </w:tcPr>
          <w:p w14:paraId="4EA3B5B8" w14:textId="6C8BC300"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Times New Roman" w:hAnsi="Times New Roman" w:cs="Times New Roman"/>
                <w:sz w:val="20"/>
                <w:szCs w:val="20"/>
              </w:rPr>
              <w:t>Thông tư</w:t>
            </w:r>
          </w:p>
        </w:tc>
        <w:tc>
          <w:tcPr>
            <w:tcW w:w="851" w:type="dxa"/>
            <w:tcBorders>
              <w:top w:val="single" w:sz="4" w:space="0" w:color="000000"/>
              <w:left w:val="single" w:sz="4" w:space="0" w:color="000000"/>
              <w:bottom w:val="single" w:sz="4" w:space="0" w:color="000000"/>
              <w:right w:val="single" w:sz="4" w:space="0" w:color="000000"/>
            </w:tcBorders>
          </w:tcPr>
          <w:p w14:paraId="797F25C6" w14:textId="1C3E0BF7" w:rsidR="00A40329" w:rsidRPr="00E24264" w:rsidRDefault="00A40329" w:rsidP="001E0652">
            <w:pPr>
              <w:spacing w:after="0" w:line="240" w:lineRule="auto"/>
              <w:jc w:val="center"/>
              <w:rPr>
                <w:rFonts w:ascii="Times New Roman" w:eastAsia="Times New Roman" w:hAnsi="Times New Roman" w:cs="Times New Roman"/>
                <w:noProof/>
                <w:sz w:val="20"/>
                <w:szCs w:val="20"/>
              </w:rPr>
            </w:pPr>
            <w:r w:rsidRPr="00E24264">
              <w:rPr>
                <w:rFonts w:ascii="Times New Roman" w:eastAsia="Times New Roman" w:hAnsi="Times New Roman" w:cs="Times New Roman"/>
                <w:sz w:val="20"/>
                <w:szCs w:val="20"/>
              </w:rPr>
              <w:t>Ban hành mới</w:t>
            </w:r>
          </w:p>
        </w:tc>
        <w:tc>
          <w:tcPr>
            <w:tcW w:w="5672" w:type="dxa"/>
            <w:tcBorders>
              <w:top w:val="single" w:sz="4" w:space="0" w:color="000000"/>
              <w:left w:val="single" w:sz="4" w:space="0" w:color="000000"/>
              <w:bottom w:val="single" w:sz="4" w:space="0" w:color="000000"/>
              <w:right w:val="single" w:sz="4" w:space="0" w:color="000000"/>
            </w:tcBorders>
          </w:tcPr>
          <w:p w14:paraId="1DD921DB" w14:textId="135DD59B" w:rsidR="00A40329" w:rsidRPr="00E24264" w:rsidRDefault="00A40329" w:rsidP="001E0652">
            <w:pPr>
              <w:spacing w:after="0" w:line="240" w:lineRule="auto"/>
              <w:jc w:val="both"/>
              <w:rPr>
                <w:rFonts w:ascii="Times New Roman" w:hAnsi="Times New Roman" w:cs="Times New Roman"/>
                <w:bCs/>
                <w:sz w:val="20"/>
                <w:szCs w:val="20"/>
              </w:rPr>
            </w:pPr>
            <w:r w:rsidRPr="00E24264">
              <w:rPr>
                <w:rFonts w:ascii="Times New Roman" w:eastAsia="Times New Roman" w:hAnsi="Times New Roman" w:cs="Times New Roman"/>
                <w:sz w:val="20"/>
                <w:szCs w:val="20"/>
              </w:rPr>
              <w:t>Bệnh viện Phụ Sản Hà Nội xác định chi phí “dự phòng rủi ro” trong cơ cấu giá dịch vụ KCB theo yêu cầu với tỷ lệ 1% giá dịch vụ của một số dịch vụ kỹ thuật từ ngày 15/8/2023 đến nay. Theo điểm d khoản 3 Điều 119 Nghị định số 96/2023/NĐ-CP ngày 30/12/2023 quy định chi tiết một số điều của Luật Khám bệnh, chữa bệnh thì kết cấu trong giá dịch vụ khám chữa bệnh theo yêu cầu có chi phí “dự phòng rủi ro”. Nội dung này đã được KTNN nêu và kiến nghị tại BCKT việc quản lý, sử dụng tài chính công, tài sản công năm 2023 của Bệnh viện Bạch Mai phát hành kèm theo Công văn số 156/KTNN-TH ngày 11/10/2024 của KTNN. Tuy nhiên đến nay Bộ Y tế chưa có hướng dẫn cụ thể về mức trích chi phí dự phòng rủi ro thực tế và việc quản lý, sử dụng chi phí dự phòng rủi ro, chưa xác định được nội dung và mục tiêu quản lý từ chi phí dự phòng rủi ro để các bệnh viện thực hiện.</w:t>
            </w:r>
          </w:p>
        </w:tc>
        <w:tc>
          <w:tcPr>
            <w:tcW w:w="3827" w:type="dxa"/>
            <w:tcBorders>
              <w:top w:val="single" w:sz="4" w:space="0" w:color="000000"/>
              <w:left w:val="single" w:sz="4" w:space="0" w:color="000000"/>
              <w:bottom w:val="single" w:sz="4" w:space="0" w:color="000000"/>
              <w:right w:val="single" w:sz="4" w:space="0" w:color="000000"/>
            </w:tcBorders>
          </w:tcPr>
          <w:p w14:paraId="2DF48B07" w14:textId="11D84ABE"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Times New Roman" w:hAnsi="Times New Roman" w:cs="Times New Roman"/>
                <w:sz w:val="20"/>
                <w:szCs w:val="20"/>
              </w:rPr>
              <w:t>Nghiên cứu, ban hành văn bản hướng dẫn cơ sở xác định và quản lý, sử dụng chi phí “dự phòng rủi ro” kết cấu trong cơ cấu giá dịch vụ khám chữa bệnh theo yêu cầu được quy định tại khoản 3 Điều 119 của Nghị định số 96/2023/NĐ-CP, làm cơ sở cho các cơ sở khám chữa bệnh thực hiện.</w:t>
            </w:r>
          </w:p>
        </w:tc>
        <w:tc>
          <w:tcPr>
            <w:tcW w:w="2126" w:type="dxa"/>
            <w:tcBorders>
              <w:top w:val="single" w:sz="4" w:space="0" w:color="000000"/>
              <w:left w:val="single" w:sz="4" w:space="0" w:color="000000"/>
              <w:bottom w:val="single" w:sz="4" w:space="0" w:color="000000"/>
              <w:right w:val="single" w:sz="4" w:space="0" w:color="000000"/>
            </w:tcBorders>
          </w:tcPr>
          <w:p w14:paraId="1986556D" w14:textId="31B80DAD"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Times New Roman" w:hAnsi="Times New Roman" w:cs="Times New Roman"/>
                <w:sz w:val="20"/>
                <w:szCs w:val="20"/>
              </w:rPr>
              <w:t>Việc quản lý, sử dụng tài chính công, tài sản công của các bệnh viện công lập giai đoạn 2023 - 2024 trên địa bàn thành phố Hà Nội.</w:t>
            </w:r>
          </w:p>
        </w:tc>
      </w:tr>
      <w:tr w:rsidR="00A40329" w:rsidRPr="00E24264" w14:paraId="23849F91" w14:textId="77777777" w:rsidTr="00A40329">
        <w:trPr>
          <w:cantSplit/>
          <w:trHeight w:val="231"/>
        </w:trPr>
        <w:tc>
          <w:tcPr>
            <w:tcW w:w="559" w:type="dxa"/>
          </w:tcPr>
          <w:p w14:paraId="579F534B"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164B5611" w14:textId="33A3CF6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sz w:val="20"/>
                <w:szCs w:val="20"/>
                <w:lang w:eastAsia="ko-KR"/>
              </w:rPr>
              <w:t>Bộ Tài chính</w:t>
            </w:r>
          </w:p>
        </w:tc>
        <w:tc>
          <w:tcPr>
            <w:tcW w:w="851" w:type="dxa"/>
          </w:tcPr>
          <w:p w14:paraId="63317A47" w14:textId="0739268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sz w:val="20"/>
                <w:szCs w:val="20"/>
                <w:lang w:eastAsia="ko-KR"/>
              </w:rPr>
              <w:t>Thông tư số 96/2015/TT-BTC ngày 22/6/2015</w:t>
            </w:r>
          </w:p>
        </w:tc>
        <w:tc>
          <w:tcPr>
            <w:tcW w:w="851" w:type="dxa"/>
          </w:tcPr>
          <w:p w14:paraId="7C2CE728" w14:textId="79DECA7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noProof/>
                <w:sz w:val="20"/>
                <w:szCs w:val="20"/>
              </w:rPr>
              <w:t>Sửa đổi, bổ sung</w:t>
            </w:r>
          </w:p>
        </w:tc>
        <w:tc>
          <w:tcPr>
            <w:tcW w:w="5672" w:type="dxa"/>
          </w:tcPr>
          <w:p w14:paraId="61ACE2EA" w14:textId="5F88A453" w:rsidR="00A40329" w:rsidRPr="00E24264" w:rsidRDefault="00A40329" w:rsidP="001E0652">
            <w:pPr>
              <w:spacing w:after="0" w:line="240" w:lineRule="auto"/>
              <w:jc w:val="both"/>
              <w:rPr>
                <w:rFonts w:ascii="Times New Roman" w:hAnsi="Times New Roman" w:cs="Times New Roman"/>
                <w:bCs/>
                <w:sz w:val="20"/>
                <w:szCs w:val="20"/>
              </w:rPr>
            </w:pPr>
            <w:r w:rsidRPr="00E24264">
              <w:rPr>
                <w:rFonts w:ascii="Times New Roman" w:hAnsi="Times New Roman" w:cs="Times New Roman"/>
                <w:bCs/>
                <w:sz w:val="20"/>
                <w:szCs w:val="20"/>
              </w:rPr>
              <w:t>Về ưu đãi thuế TNDN đối với thu nhập của doanh nghiệp từ trồng trọt, chăn nuôi, chế biến trong lĩnh vực nông nghiệp và thủy sản ở địa bàn không thuộc địa bàn có điều kiện kinh tế xã hội khó khăn hoặc địa bàn có điều kiện kinh tế xã hội đặc biệt khó khăn: Khoản 5 Điều 11 Thông tư số 96/2015/TT-BTC ngày 22/6/2015 quy định thuế suất 15% nhưng không quy định thời gian áp dụng là bao lâu.</w:t>
            </w:r>
          </w:p>
        </w:tc>
        <w:tc>
          <w:tcPr>
            <w:tcW w:w="3827" w:type="dxa"/>
          </w:tcPr>
          <w:p w14:paraId="408A0EBD" w14:textId="368738A5" w:rsidR="00A40329" w:rsidRPr="00E24264" w:rsidRDefault="00A40329" w:rsidP="001E0652">
            <w:pPr>
              <w:spacing w:after="0" w:line="240" w:lineRule="auto"/>
              <w:ind w:hanging="35"/>
              <w:jc w:val="both"/>
              <w:rPr>
                <w:rFonts w:ascii="Times New Roman" w:eastAsia="Batang" w:hAnsi="Times New Roman" w:cs="Times New Roman"/>
                <w:noProof/>
                <w:sz w:val="20"/>
                <w:szCs w:val="20"/>
                <w:lang w:val="en-US" w:eastAsia="ko-KR"/>
              </w:rPr>
            </w:pPr>
            <w:r w:rsidRPr="00E24264">
              <w:rPr>
                <w:rFonts w:ascii="Times New Roman" w:eastAsia="Batang" w:hAnsi="Times New Roman" w:cs="Times New Roman"/>
                <w:noProof/>
                <w:sz w:val="20"/>
                <w:szCs w:val="20"/>
                <w:lang w:val="vi-VN" w:eastAsia="ko-KR"/>
              </w:rPr>
              <w:t>Thực hiện rà soát, nghiên cứu, xem xét bổ sung khi thực hiện sửa đổi các quy định: (i) thời gian áp dụng thuế suất đối với quy định sửa đổi tại khoản 5 Điều 11 Thông tư số 96/2015/TT-BTC ngày 22/6/2015; ban hành văn bản hướng dẫn cụ thể cách thức xác định ưu đãi thuế đối với vị trí thực tế của dự án đầu tư trên thực địa làm căn cứ xác định ưu đãi thuế trong trường hợp diện tích dự án đầu tư nằm trên cả địa bàn thuận lợi và địa bàn không thuận lợi theo quy định tại Điều 6 Thông tư 151/2014/TT-BTC của Bộ Tài chính</w:t>
            </w:r>
          </w:p>
        </w:tc>
        <w:tc>
          <w:tcPr>
            <w:tcW w:w="2126" w:type="dxa"/>
          </w:tcPr>
          <w:p w14:paraId="4F9740FB"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Việc thực hiện các chính sách ưu đãi đầu tư tại khu kinh tế, khu công nghiệp giai đoạn 2022-2024 Bộ Tài chính (Bộ Kế hoạch và Đầu tư) và các địa phương: Quảng Ninh, Bình Thuận, Hà Tĩnh, Thanh Hóa, Đồng Nai, </w:t>
            </w:r>
          </w:p>
          <w:p w14:paraId="78A4B0E0"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Bắc Ninh, Hà Nội, Quảng Bình</w:t>
            </w:r>
          </w:p>
          <w:p w14:paraId="0B64397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tc>
      </w:tr>
      <w:tr w:rsidR="00A40329" w:rsidRPr="00E24264" w14:paraId="1BF301A4" w14:textId="77777777" w:rsidTr="00A40329">
        <w:trPr>
          <w:cantSplit/>
          <w:trHeight w:val="231"/>
        </w:trPr>
        <w:tc>
          <w:tcPr>
            <w:tcW w:w="559" w:type="dxa"/>
          </w:tcPr>
          <w:p w14:paraId="6BC715E6"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4FA00F04" w14:textId="560BD875"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Batang" w:hAnsi="Times New Roman" w:cs="Times New Roman"/>
                <w:sz w:val="20"/>
                <w:szCs w:val="20"/>
                <w:lang w:eastAsia="ko-KR"/>
              </w:rPr>
              <w:t>Bộ Tài chính</w:t>
            </w:r>
          </w:p>
        </w:tc>
        <w:tc>
          <w:tcPr>
            <w:tcW w:w="851" w:type="dxa"/>
          </w:tcPr>
          <w:p w14:paraId="4A6CED09" w14:textId="7737411B"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Batang" w:hAnsi="Times New Roman" w:cs="Times New Roman"/>
                <w:sz w:val="20"/>
                <w:szCs w:val="20"/>
                <w:lang w:eastAsia="ko-KR"/>
              </w:rPr>
              <w:t>Thông tư số 03/2021/TT-</w:t>
            </w:r>
            <w:r w:rsidRPr="00E24264">
              <w:rPr>
                <w:rFonts w:ascii="Times New Roman" w:eastAsia="Batang" w:hAnsi="Times New Roman" w:cs="Times New Roman"/>
                <w:sz w:val="20"/>
                <w:szCs w:val="20"/>
                <w:lang w:eastAsia="ko-KR"/>
              </w:rPr>
              <w:lastRenderedPageBreak/>
              <w:t>BKHĐT ngày 09/4/2021</w:t>
            </w:r>
          </w:p>
        </w:tc>
        <w:tc>
          <w:tcPr>
            <w:tcW w:w="851" w:type="dxa"/>
          </w:tcPr>
          <w:p w14:paraId="4FCE5147" w14:textId="6FD2B85A" w:rsidR="00A40329" w:rsidRPr="00E24264" w:rsidRDefault="00A40329" w:rsidP="001E0652">
            <w:pPr>
              <w:spacing w:after="0" w:line="240" w:lineRule="auto"/>
              <w:jc w:val="center"/>
              <w:rPr>
                <w:rFonts w:ascii="Times New Roman" w:eastAsia="Times New Roman" w:hAnsi="Times New Roman" w:cs="Times New Roman"/>
                <w:noProof/>
                <w:sz w:val="20"/>
                <w:szCs w:val="20"/>
              </w:rPr>
            </w:pPr>
            <w:r w:rsidRPr="00E24264">
              <w:rPr>
                <w:rFonts w:ascii="Times New Roman" w:eastAsia="Times New Roman" w:hAnsi="Times New Roman" w:cs="Times New Roman"/>
                <w:noProof/>
                <w:sz w:val="20"/>
                <w:szCs w:val="20"/>
              </w:rPr>
              <w:lastRenderedPageBreak/>
              <w:t>Sửa đổi, bổ sung</w:t>
            </w:r>
          </w:p>
        </w:tc>
        <w:tc>
          <w:tcPr>
            <w:tcW w:w="5672" w:type="dxa"/>
          </w:tcPr>
          <w:p w14:paraId="049B5A1B" w14:textId="0AC1F0AE" w:rsidR="00A40329" w:rsidRPr="00E24264" w:rsidRDefault="00A40329" w:rsidP="001E0652">
            <w:pPr>
              <w:spacing w:after="0" w:line="240" w:lineRule="auto"/>
              <w:jc w:val="both"/>
              <w:rPr>
                <w:rFonts w:ascii="Times New Roman" w:hAnsi="Times New Roman" w:cs="Times New Roman"/>
                <w:bCs/>
                <w:sz w:val="20"/>
                <w:szCs w:val="20"/>
              </w:rPr>
            </w:pPr>
            <w:r w:rsidRPr="00E24264">
              <w:rPr>
                <w:rFonts w:ascii="Times New Roman" w:hAnsi="Times New Roman" w:cs="Times New Roman"/>
                <w:bCs/>
                <w:sz w:val="20"/>
                <w:szCs w:val="20"/>
              </w:rPr>
              <w:t xml:space="preserve">Chưa có hướng dẫn cụ thể cách thức xác định ưu đãi thuế đối với vị trí thực tế của dự án đầu tư trên thực địa như thế nào (theo diện tích lớn hơn, hoặc phân bổ, tiêu chí phân bổ,...) đối với quy định tại khoản 6  Điều 1 Nghị định 91/2014/NĐ-CP và Điều 6 Thông tư </w:t>
            </w:r>
            <w:r w:rsidRPr="00E24264">
              <w:rPr>
                <w:rFonts w:ascii="Times New Roman" w:hAnsi="Times New Roman" w:cs="Times New Roman"/>
                <w:bCs/>
                <w:sz w:val="20"/>
                <w:szCs w:val="20"/>
              </w:rPr>
              <w:lastRenderedPageBreak/>
              <w:t>151/2014/TT-BTC trường hợp khu công nghiệp nằm trên cả địa bàn thuận lợi và địa bàn không thuận lợi thì việc xác định ưu đãi thuế đối với khu công nghiệp căn cứ vào vị trí thực tế của dự án đầu tư trên thực địa.</w:t>
            </w:r>
          </w:p>
          <w:p w14:paraId="3910F6EC" w14:textId="69E891AD" w:rsidR="00A40329" w:rsidRPr="00E24264" w:rsidRDefault="00A40329" w:rsidP="001E0652">
            <w:pPr>
              <w:spacing w:after="0" w:line="240" w:lineRule="auto"/>
              <w:jc w:val="both"/>
              <w:rPr>
                <w:rFonts w:ascii="Times New Roman" w:hAnsi="Times New Roman" w:cs="Times New Roman"/>
                <w:bCs/>
                <w:sz w:val="20"/>
                <w:szCs w:val="20"/>
              </w:rPr>
            </w:pPr>
            <w:r w:rsidRPr="00E24264">
              <w:rPr>
                <w:rFonts w:ascii="Times New Roman" w:hAnsi="Times New Roman" w:cs="Times New Roman"/>
                <w:bCs/>
                <w:sz w:val="20"/>
                <w:szCs w:val="20"/>
              </w:rPr>
              <w:t>Thông tư số 03/2021/TT-BKHĐT ngày 09/4/2021 của Bộ trưởng Bộ Kế hoạch Đầu tư: Mẫu A.II.2 Quyết định chấp thuận điều chỉnh chủ trương đầu tư Ban hành kèm theo Thông tư số 03/2021/TT-BKHĐT ngày 09/4/2021 của Bộ trưởng Bộ Kế hoạch Đầu tư thiếu Điều 2</w:t>
            </w:r>
          </w:p>
        </w:tc>
        <w:tc>
          <w:tcPr>
            <w:tcW w:w="3827" w:type="dxa"/>
          </w:tcPr>
          <w:p w14:paraId="5ADD8550" w14:textId="2A2DE999"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Rà soát và bổ sung Điều 2 vào Mẫu A.II.2 Thông tư số 03/2021/TT-BKHĐT để đảm bảo đầy đủ của văn bản</w:t>
            </w:r>
          </w:p>
        </w:tc>
        <w:tc>
          <w:tcPr>
            <w:tcW w:w="2126" w:type="dxa"/>
          </w:tcPr>
          <w:p w14:paraId="5B12F9A0"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Việc thực hiện các chính sách ưu đãi đầu tư tại khu kinh tế, khu công nghiệp giai đoạn </w:t>
            </w:r>
            <w:r w:rsidRPr="00E24264">
              <w:rPr>
                <w:rFonts w:ascii="Times New Roman" w:eastAsia="Batang" w:hAnsi="Times New Roman" w:cs="Times New Roman"/>
                <w:noProof/>
                <w:sz w:val="20"/>
                <w:szCs w:val="20"/>
                <w:lang w:val="vi-VN" w:eastAsia="ko-KR"/>
              </w:rPr>
              <w:lastRenderedPageBreak/>
              <w:t xml:space="preserve">2022-2024 Bộ Tài chính (Bộ Kế hoạch và Đầu tư) và các địa phương: Quảng Ninh, Bình Thuận, Hà Tĩnh, Thanh Hóa, Đồng Nai, </w:t>
            </w:r>
          </w:p>
          <w:p w14:paraId="01FF4752"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Bắc Ninh, Hà Nội, Quảng Bình</w:t>
            </w:r>
          </w:p>
          <w:p w14:paraId="7F503622"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p>
        </w:tc>
      </w:tr>
      <w:tr w:rsidR="00A40329" w:rsidRPr="00E24264" w14:paraId="183DF1BF" w14:textId="77777777" w:rsidTr="00A40329">
        <w:trPr>
          <w:cantSplit/>
          <w:trHeight w:val="231"/>
        </w:trPr>
        <w:tc>
          <w:tcPr>
            <w:tcW w:w="559" w:type="dxa"/>
          </w:tcPr>
          <w:p w14:paraId="7A5F0619" w14:textId="77777777" w:rsidR="00A40329" w:rsidRPr="00E24264" w:rsidRDefault="00A40329" w:rsidP="001E0652">
            <w:pPr>
              <w:numPr>
                <w:ilvl w:val="0"/>
                <w:numId w:val="3"/>
              </w:numPr>
              <w:pBdr>
                <w:top w:val="nil"/>
                <w:left w:val="nil"/>
                <w:bottom w:val="nil"/>
                <w:right w:val="nil"/>
                <w:between w:val="nil"/>
              </w:pBdr>
              <w:spacing w:after="0" w:line="240" w:lineRule="auto"/>
              <w:ind w:hanging="360"/>
              <w:jc w:val="center"/>
              <w:rPr>
                <w:rFonts w:ascii="Times New Roman" w:eastAsia="Times New Roman" w:hAnsi="Times New Roman" w:cs="Times New Roman"/>
                <w:sz w:val="20"/>
                <w:szCs w:val="20"/>
              </w:rPr>
            </w:pPr>
          </w:p>
        </w:tc>
        <w:tc>
          <w:tcPr>
            <w:tcW w:w="993" w:type="dxa"/>
          </w:tcPr>
          <w:p w14:paraId="2A79F12F" w14:textId="37E1680C"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Batang" w:hAnsi="Times New Roman" w:cs="Times New Roman"/>
                <w:sz w:val="20"/>
                <w:szCs w:val="20"/>
                <w:lang w:eastAsia="ko-KR"/>
              </w:rPr>
              <w:t>Bộ Tài chính</w:t>
            </w:r>
          </w:p>
        </w:tc>
        <w:tc>
          <w:tcPr>
            <w:tcW w:w="851" w:type="dxa"/>
          </w:tcPr>
          <w:p w14:paraId="2326548B" w14:textId="42F83010" w:rsidR="00A40329" w:rsidRPr="00E24264" w:rsidRDefault="00A40329" w:rsidP="001E0652">
            <w:pPr>
              <w:spacing w:after="0" w:line="240" w:lineRule="auto"/>
              <w:jc w:val="center"/>
              <w:rPr>
                <w:rFonts w:ascii="Times New Roman" w:eastAsia="Batang" w:hAnsi="Times New Roman" w:cs="Times New Roman"/>
                <w:sz w:val="20"/>
                <w:szCs w:val="20"/>
                <w:lang w:eastAsia="ko-KR"/>
              </w:rPr>
            </w:pPr>
            <w:r w:rsidRPr="00E24264">
              <w:rPr>
                <w:rFonts w:ascii="Times New Roman" w:eastAsia="Batang" w:hAnsi="Times New Roman" w:cs="Times New Roman"/>
                <w:sz w:val="20"/>
                <w:szCs w:val="20"/>
                <w:lang w:eastAsia="ko-KR"/>
              </w:rPr>
              <w:t>Thông tư 133/2016/TT-BTC ngày 28/6/2016</w:t>
            </w:r>
          </w:p>
        </w:tc>
        <w:tc>
          <w:tcPr>
            <w:tcW w:w="851" w:type="dxa"/>
          </w:tcPr>
          <w:p w14:paraId="10862261" w14:textId="7E4BE681" w:rsidR="00A40329" w:rsidRPr="00E24264" w:rsidRDefault="00A40329" w:rsidP="001E0652">
            <w:pPr>
              <w:spacing w:after="0" w:line="240" w:lineRule="auto"/>
              <w:jc w:val="center"/>
              <w:rPr>
                <w:rFonts w:ascii="Times New Roman" w:eastAsia="Times New Roman" w:hAnsi="Times New Roman" w:cs="Times New Roman"/>
                <w:noProof/>
                <w:sz w:val="20"/>
                <w:szCs w:val="20"/>
              </w:rPr>
            </w:pPr>
            <w:r w:rsidRPr="00E24264">
              <w:rPr>
                <w:rFonts w:ascii="Times New Roman" w:eastAsia="Times New Roman" w:hAnsi="Times New Roman" w:cs="Times New Roman"/>
                <w:noProof/>
                <w:sz w:val="20"/>
                <w:szCs w:val="20"/>
              </w:rPr>
              <w:t>Sửa đổi, bổ sung</w:t>
            </w:r>
          </w:p>
        </w:tc>
        <w:tc>
          <w:tcPr>
            <w:tcW w:w="5672" w:type="dxa"/>
          </w:tcPr>
          <w:p w14:paraId="04E19A77" w14:textId="475889CB" w:rsidR="00A40329" w:rsidRPr="00E24264" w:rsidRDefault="00A40329" w:rsidP="001E0652">
            <w:pPr>
              <w:spacing w:after="0" w:line="240" w:lineRule="auto"/>
              <w:jc w:val="both"/>
              <w:rPr>
                <w:rFonts w:ascii="Times New Roman" w:hAnsi="Times New Roman" w:cs="Times New Roman"/>
                <w:bCs/>
                <w:sz w:val="20"/>
                <w:szCs w:val="20"/>
              </w:rPr>
            </w:pPr>
            <w:r w:rsidRPr="00E24264">
              <w:rPr>
                <w:rFonts w:ascii="Times New Roman" w:hAnsi="Times New Roman" w:cs="Times New Roman"/>
                <w:bCs/>
                <w:sz w:val="20"/>
                <w:szCs w:val="20"/>
              </w:rPr>
              <w:t>Tại điểm l, khoản 2, Điều 68 Nghị định số 35/2022/NĐ-CP Ban quản lý khu công nghiệp, khu kinh tế có nhiệm vụ quyền hạn “Nhận báo cáo thống kê, báo cáo tài chính của doanh nghiệp trong khu công nghiệp, khu kinh tế;…..”. Nhưng theo quy định tại Thông tư 133/2016/TT-BTC quy định: Nơi nhận BCTC không có Ban Quản lý Khu kinh tế..., chỉ quy định doanh nghiệp phải nộp BCTC năm cho Ban quản lý khu chế xuất, khu công nghiệp, khu công nghệ cao nếu được yêu cầu. Bên cạnh đó, quy định về việc trao đổi thông tin về doanh nghiệp giữa Hệ thống thông tin quốc gia về đăng ký doanh nghiệp và Hệ thống thông tin thuế tại Điều 18 Thông tư liên tịch số 01/2016/TTLT-BKHĐT-BTC ngày 23/02/2016 có các đơn vị cấp trung ương (Tổng cục Thuế; Cục Quản lý đăng ký kinh doanh) và cấp địa phương (Cục Thuế, Chi cục Thuế; Phòng Đăng ký kinh doanh) thực hiện hiện trao đổi thông tin về báo cáo tài chính của doanh nghiệp, chưa quy định đầu mối trao đổi là BQL</w:t>
            </w:r>
          </w:p>
        </w:tc>
        <w:tc>
          <w:tcPr>
            <w:tcW w:w="3827" w:type="dxa"/>
          </w:tcPr>
          <w:p w14:paraId="033C923B" w14:textId="2AAB0E7C"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Nghiên cứu sửa đổi Thông tư 133/2016/TT-BTC ngày 28/6/2016 của Bộ Tài chính đảm bảo tính đồng bộ, có cơ sở trong thực tiễn triển khai với khoản 2 Điều 68 Nghị định số 35/2022/NĐ-CP.</w:t>
            </w:r>
          </w:p>
          <w:p w14:paraId="5DEF75AF"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tc>
        <w:tc>
          <w:tcPr>
            <w:tcW w:w="2126" w:type="dxa"/>
          </w:tcPr>
          <w:p w14:paraId="5264DC83"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Việc thực hiện các chính sách ưu đãi đầu tư tại khu kinh tế, khu công nghiệp giai đoạn 2022-2024 Bộ Tài chính (Bộ Kế hoạch và Đầu tư) và các địa phương: Quảng Ninh, Bình Thuận, Hà Tĩnh, Thanh Hóa, Đồng Nai, </w:t>
            </w:r>
          </w:p>
          <w:p w14:paraId="026C67A8"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Bắc Ninh, Hà Nội, Quảng Bình</w:t>
            </w:r>
          </w:p>
          <w:p w14:paraId="4682AC17" w14:textId="77777777"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p>
        </w:tc>
      </w:tr>
      <w:tr w:rsidR="00A40329" w:rsidRPr="00E24264" w14:paraId="612EBCFE" w14:textId="77777777" w:rsidTr="00A40329">
        <w:trPr>
          <w:cantSplit/>
          <w:trHeight w:val="319"/>
        </w:trPr>
        <w:tc>
          <w:tcPr>
            <w:tcW w:w="559" w:type="dxa"/>
          </w:tcPr>
          <w:p w14:paraId="612EBCF6"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V</w:t>
            </w:r>
          </w:p>
        </w:tc>
        <w:tc>
          <w:tcPr>
            <w:tcW w:w="1844" w:type="dxa"/>
            <w:gridSpan w:val="2"/>
          </w:tcPr>
          <w:p w14:paraId="612EBCF7" w14:textId="77777777" w:rsidR="00A40329" w:rsidRPr="00E24264" w:rsidRDefault="00A40329" w:rsidP="001E0652">
            <w:pPr>
              <w:spacing w:after="0" w:line="240" w:lineRule="auto"/>
              <w:rPr>
                <w:rFonts w:ascii="Times New Roman" w:eastAsia="Times New Roman" w:hAnsi="Times New Roman" w:cs="Times New Roman"/>
                <w:b/>
                <w:bCs/>
                <w:sz w:val="20"/>
                <w:szCs w:val="20"/>
              </w:rPr>
            </w:pPr>
            <w:r w:rsidRPr="00E24264">
              <w:rPr>
                <w:rFonts w:ascii="Times New Roman" w:eastAsia="Times New Roman" w:hAnsi="Times New Roman" w:cs="Times New Roman"/>
                <w:b/>
                <w:bCs/>
                <w:sz w:val="20"/>
                <w:szCs w:val="20"/>
              </w:rPr>
              <w:t>Văn bản khác</w:t>
            </w:r>
          </w:p>
        </w:tc>
        <w:tc>
          <w:tcPr>
            <w:tcW w:w="851" w:type="dxa"/>
            <w:tcBorders>
              <w:top w:val="single" w:sz="4" w:space="0" w:color="000000"/>
              <w:left w:val="single" w:sz="4" w:space="0" w:color="000000"/>
              <w:bottom w:val="single" w:sz="4" w:space="0" w:color="000000"/>
              <w:right w:val="single" w:sz="4" w:space="0" w:color="000000"/>
            </w:tcBorders>
          </w:tcPr>
          <w:p w14:paraId="612EBCF8"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5672" w:type="dxa"/>
          </w:tcPr>
          <w:p w14:paraId="612EBCF9"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3827" w:type="dxa"/>
          </w:tcPr>
          <w:p w14:paraId="612EBCFA" w14:textId="77777777" w:rsidR="00A40329" w:rsidRPr="00E24264" w:rsidRDefault="00A40329" w:rsidP="001E0652">
            <w:pPr>
              <w:spacing w:after="0" w:line="240" w:lineRule="auto"/>
              <w:jc w:val="center"/>
              <w:rPr>
                <w:rFonts w:ascii="Times New Roman" w:eastAsia="Times New Roman" w:hAnsi="Times New Roman" w:cs="Times New Roman"/>
                <w:b/>
                <w:bCs/>
                <w:sz w:val="20"/>
                <w:szCs w:val="20"/>
              </w:rPr>
            </w:pPr>
          </w:p>
        </w:tc>
        <w:tc>
          <w:tcPr>
            <w:tcW w:w="2126" w:type="dxa"/>
          </w:tcPr>
          <w:p w14:paraId="612EBCFB" w14:textId="77777777" w:rsidR="00A40329" w:rsidRPr="00E24264" w:rsidRDefault="00A40329" w:rsidP="001E0652">
            <w:pPr>
              <w:spacing w:after="0" w:line="240" w:lineRule="auto"/>
              <w:jc w:val="both"/>
              <w:rPr>
                <w:rFonts w:ascii="Times New Roman" w:eastAsia="Times New Roman" w:hAnsi="Times New Roman" w:cs="Times New Roman"/>
                <w:b/>
                <w:bCs/>
                <w:sz w:val="20"/>
                <w:szCs w:val="20"/>
              </w:rPr>
            </w:pPr>
          </w:p>
        </w:tc>
      </w:tr>
      <w:tr w:rsidR="00A40329" w:rsidRPr="00E24264" w14:paraId="612EBD1A" w14:textId="77777777" w:rsidTr="00A40329">
        <w:trPr>
          <w:cantSplit/>
          <w:trHeight w:val="231"/>
        </w:trPr>
        <w:tc>
          <w:tcPr>
            <w:tcW w:w="559" w:type="dxa"/>
          </w:tcPr>
          <w:p w14:paraId="612EBCF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0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0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0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D0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Quy định về điểm dừng khoan khảo sát địa chất nền đường đắp trên nền đất yếu giữa TCCS 31:2020/TCĐBVN và TCCS 41:2022/TCĐBVN Tiêu chuẩn khảo sát thiết kế nền đường ô tô trên nền đất yếu còn chưa đồng bộ, thống nhất. Cụ thể:</w:t>
            </w:r>
          </w:p>
          <w:p w14:paraId="612EBD0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quy định tại mục 8.3.2.2 TCCS 31:2020/TCĐBVN, khi thực hiện khoan khảo sát địa chất đối với nền đường đắp trên nền đất yếu, chiều sâu khoan thăm dò hết lớp đất yếu và vào lớp đất chịu lực từ 2 m đến 4 m; lớp đất chịu lực được xác định là đất dính có trạng thái từ dẻo cứng trở lên (tương đương với thí nghiệm SPT ≥ 8). Như vậy, theo TCCS 31:2020/TCĐBVN, chiều sâu kết thúc lỗ khoan đáp ứng khi khoan vào đất dính có SPT N≥8 (trạng thái từ dẻo cứng trở lên) từ 2m đến 4m.</w:t>
            </w:r>
          </w:p>
          <w:p w14:paraId="612EBD0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Theo quy định tại mục 5.3.2.2 TCCS 41:2022/TCĐBVN, độ sâu khoan thăm dò phải đến dưới đáy lớp đất yếu, sâu vào lớp đất không yếu thêm tối thiểu 3,0 m; tại mục 4.1 TCCS 41:2022/TCĐBVN quy </w:t>
            </w:r>
            <w:r w:rsidRPr="00E24264">
              <w:rPr>
                <w:rFonts w:ascii="Times New Roman" w:eastAsia="Times New Roman" w:hAnsi="Times New Roman" w:cs="Times New Roman"/>
                <w:sz w:val="20"/>
                <w:szCs w:val="20"/>
              </w:rPr>
              <w:lastRenderedPageBreak/>
              <w:t>định loại đất sét hoặc sét pha, được xem là đất yếu nếu ở trạng thái tự nhiên… có chỉ số xuyên tiêu chuẩn SPT là N &lt; 5 (trạng thái dẻo chảy, chảy, dẻo mềm) . Như vậy, theo quy định tại TCCS 41:2022/TCĐBVN, chiều sâu kết thúc hố khoan có thể kết thúc khi khoan vào lớp đất dính có SPT ≥ 5 (trạng thái từ dẻo mềm trở lên).</w:t>
            </w:r>
          </w:p>
          <w:p w14:paraId="612EBD0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định điểm dừng khoan chưa thống nhất giữa 02 tiêu chuẩn như đã nêu trên có thể dẫn đến sự khác nhau khi áp dụng mỗi tiêu chuẩn để xác định điểm dừng khoan thăm dò địa chất nền đường đắp trên nền đất yếu.</w:t>
            </w:r>
          </w:p>
          <w:p w14:paraId="612EBD0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Quy định về khoảng cách giữa các lỗ khoan thăm dò địa chất nền đất yếu  giữa TCCS 31:2020/TCĐBVN Đường ô tô – Tiêu chuẩn khảo sát và TCCS 41:2022/TCĐBVN Tiêu chuẩn khảo sát thiết kế nền đường ô tô trên nền đất yếu còn chưa đồng bộ, thống nhất. Cụ thể:</w:t>
            </w:r>
          </w:p>
          <w:p w14:paraId="612EBD0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quy định tại mục 8.3.3.2 TCCS 31:2020/TCĐBVN, các lỗ khoan trên tim tuyến bố trí cách nhau thông thường từ 50m đến 100 m (bao gồm cả khối lượng lỗ khoan đã tiến hành ở bước trước), không phân biệt cấp đường; trong trường hợp đặc biệt, cự ly này có thể rút ngắn hơn. Đồng thời, cứ cách 100 m đến 200 m, tiến hành 1 mặt cắt ngang ĐCCT trên đó có 3 vị trí thăm dò, không phân biệt cấp đường.</w:t>
            </w:r>
          </w:p>
          <w:p w14:paraId="612EBD0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quy định tại mục 5.3.2.2 TCCS 41:2022/TCĐBVN, khoảng cách lỗ khoan được trên tim tuyến bố trí cách nhau thông thường từ (100 ÷ 150) m (kể cả khối lượng đã tiến hành ở bước lập thiết kế cơ sở); với đường cao tốc và đường ô tô cấp III trở lên (và tương đương) bố trí lỗ khoan cách nhau 100 m. Trong trường hợp đặc biệt, cự ly này có thể rút ngắn hơn. Đối với lỗ khoan mặt cắt ngang, với đường cao tốc và đường ô tô cấp III (và tương đương) trở lên, khoảng cách giữa các mặt cắt địa chất công trình dọc theo tuyến từ (150 ÷ 300) m.</w:t>
            </w:r>
          </w:p>
          <w:p w14:paraId="612EBD0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Việc quy định về khoảng cách giữa các lỗ khoan chưa thống nhất giữa 02 tiêu chuẩn như đã nêu trên có thể dẫn đến sự khác nhau trong việc bố trí số lượng lỗ khoan thăm dò địa chất nền đường đất yếu khi áp dụng mỗi tiêu chuẩn.</w:t>
            </w:r>
          </w:p>
          <w:p w14:paraId="612EBD0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(3) Quy định về số lượng cọc (cọc khoan nhồi) thí nghiệm sức chịu tải của cọc (phương pháp nén tĩnh) không có sự đồng nhất giữa các tiêu chuẩn TCVN 9395: 2012 Cọc – Phương pháp thử nghiệm hiện trường bằng tải trọng tĩnh ép dọc trục và TCVN 9393: 2012 Cọc khoan nhồi - Thi công và nghiệm thu, cụ thể:</w:t>
            </w:r>
          </w:p>
          <w:p w14:paraId="612EBD0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Tại TCVN 9393: 2012 quy định: Mục 3.6: Số lượng cọc thí nghiệm do thiết kế quy định tùy theo mức độ quan trọng của công trình, mức </w:t>
            </w:r>
            <w:r w:rsidRPr="00E24264">
              <w:rPr>
                <w:rFonts w:ascii="Times New Roman" w:eastAsia="Times New Roman" w:hAnsi="Times New Roman" w:cs="Times New Roman"/>
                <w:sz w:val="20"/>
                <w:szCs w:val="20"/>
              </w:rPr>
              <w:lastRenderedPageBreak/>
              <w:t>độ phức tạp của điều kiện đất nền, kinh nghiệm thiết kế, chủng loại cọc sử dụng và chất lượng thi công trong hiện trường, thông thường được lấy bằng 1% tổng số cọc của công trình nhưng trong mọi trường hợp không ít hơn 2 cọc.</w:t>
            </w:r>
          </w:p>
          <w:p w14:paraId="612EBD0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TCVN 9395: 2012 quy định: Mục 12.6.2: Số lượng cọc cần kiểm tra sức chịu tải được quy định dựa trên mức độ hoàn thiện công nghệ của Nhà thầu, mức độ rủi ro khi thi công, tầm quan trọng của công trình, nhưng tối thiểu là mỗi loại đường kính 1 cọc, tối đa là 2% tổng số cọc. Mục 12.6.3: Phương pháp kiểm tra sức chịu tải của cọc đơn chủ yếu là thử tĩnh (nén tĩnh, nhổ tĩnh, nén ngang) theo tiêu chuẩn hiện hành.</w:t>
            </w:r>
          </w:p>
          <w:p w14:paraId="612EBD0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Do đó việc quy định về số lượng cọc khoan nhồi cần kiểm tra nén tĩnh giữa 02 Tiêu chuẩn trên chưa có sự thống nhất: tối thiểu là 01 hay 02 cọc; tối đa là 1% hay 2%.</w:t>
            </w:r>
          </w:p>
          <w:p w14:paraId="612EBD0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Ngoài ra, theo mục 12.5.3 Tiêu chuẩn quốc gia TCVN 9395:2012 về Cọc khoan nhồi - Thi công và nghiệm thu, đối với phương pháp khoan kiểm tra tiếp xúc đáy cọc với đất tiến hành trong ống đặt sẵn, tại Bảng 5 -Khối lượng kiểm tra chất lượng bê tông cọc có nêu: Tỷ lệ kiểm tra tối thiểu: 1-3% số cọc. Tuy nhiên, tiêu chuẩn không nêu rõ tỷ lệ % số cọc tính trên tổng số cọc của dự án, của gói thầu hay của công trình hoặc hạng mục công trình (ví dụ dự án giao thông gồm nhiều gói thầu, trong gói thầu có nhiều công trình cầu, các công trình có nhiều mố, trụ sử dụng cọc khoan nhồi). Dẫn đến trong quá trình thực hiện, sẽ có cách hiểu khác nhau. Vì vậy, Bộ Xây dựng cần có hướng dẫn cụ thể để xác định khối lượng khoan kiểm tra.</w:t>
            </w:r>
          </w:p>
          <w:p w14:paraId="612EBD1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(4) Tại TCVN9436-2012 Nền đường ô tô – thi công và nghiệm thu, Mục 5.1 nêu một số loại đất không dùng làm vật liệu đắp nền đường, nhưng khi không có các loại đất khác phải có biện pháp cải tạo các loại đất nói trên để dùng làm vật liệu đắp nền đường như: loại bỏ các thành phần bất lợi, xử lý đất xấu bằng cách trộn thêm vôi, trộn thêm cát hoặc áp dụng các biện pháp tăng thêm độ chặt đầm nén, hạn chế nước thấm nhập... Các biện pháp nói trên phải được đánh giá thông qua thử nghiệm ở trong phòng, ở hiện trường và phải được phê duyệt theo các quy định về quản lý dự án. Tuy nhiên qua kiểm tra, rà soát chưa có tiêu chuẩn kỹ thuật và định mức xây dựng đối với công tác cải tạo đất (ví dụ như: loại bỏ các thành phần bất lợi, trộn thêm vôi, trộn thêm cát...) để có thể tận dụng được cho đắp nền đường cũng như các công trình đắp nền khác.</w:t>
            </w:r>
          </w:p>
        </w:tc>
        <w:tc>
          <w:tcPr>
            <w:tcW w:w="3827" w:type="dxa"/>
          </w:tcPr>
          <w:p w14:paraId="612EBD11"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Trên cơ sở các vướng mắc liên quan đến việc áp dụng các tiêu chuẩn như Báo cáo đã nêu, đề nghị Bộ Xây dựng chủ trì nghiên cứu, rà soát để thống nhất áp dụng hoặc có ý kiến với các Bộ, cơ quan liên quan nghiên cứu, xử lý một số nội dung sau:</w:t>
            </w:r>
          </w:p>
          <w:p w14:paraId="612EBD12"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Quy định về điểm dừng khoan khảo sát địa chất nền đường đắp trên nền đất yếu và quy định về khoảng cách giữa các lỗ khoan thăm dò địa chất nền đất yếu giữa TCCS 31:2020/TCĐBVN và TCCS 41:2022/TCĐBVN còn chưa thống nhất; </w:t>
            </w:r>
          </w:p>
          <w:p w14:paraId="612EBD13"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Quy định về số lượng cọc (cọc khoan nhồi) thí nghiệm sức chịu tải của cọc (phương pháp nén tĩnh) không có sự đồng nhất giữa các tiêu </w:t>
            </w:r>
            <w:r w:rsidRPr="00E24264">
              <w:rPr>
                <w:rFonts w:ascii="Times New Roman" w:eastAsia="Times New Roman" w:hAnsi="Times New Roman" w:cs="Times New Roman"/>
                <w:sz w:val="20"/>
                <w:szCs w:val="20"/>
              </w:rPr>
              <w:lastRenderedPageBreak/>
              <w:t>chuẩn TCVN 9395: 2012 và TCVN 9393: 2020;</w:t>
            </w:r>
          </w:p>
          <w:p w14:paraId="612EBD14"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định chưa rõ tỷ lệ kiểm tra tối thiểu số cọc (1-3% số cọc tại Bảng 5 -Khối lượng kiểm tra chất lượng bê tông cọc, TCVN 9395:2012 về Cọc khoan nhồi - Thi công và nghiệm thu) được tính trên tổng số cọc của dự án, của gói thầu, hay của công trình, hạng mục công trình.</w:t>
            </w:r>
          </w:p>
          <w:p w14:paraId="612EBD15"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Chưa có tiêu chuẩn kỹ thuật và định mức xây dựng đối với công tác cải tạo đất chưa đủ tiêu chuẩn đắp nền đường (loại bỏ các thành phần bất lợi, xử lý đất xấu bằng cách trộn thêm vôi, trộn thêm cát hoặc áp dụng các biện pháp tăng thêm độ chặt đầm nén, hạn chế nước thấm nhập) để có thể tận dụng được cho đắp nền đường nêu tại TCVN 9436-2012, Mục 5.1.</w:t>
            </w:r>
          </w:p>
          <w:p w14:paraId="612EBD16"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p>
        </w:tc>
        <w:tc>
          <w:tcPr>
            <w:tcW w:w="2126" w:type="dxa"/>
          </w:tcPr>
          <w:p w14:paraId="612EBD1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Hoạt động xây dựng và việc quản lý, sử dụng vốn đầu tư  Dự án đầu tư xây dựng đường bộ cao tốc Biên Hòa – Vũng Tàu giai đoạn 1 (dự án thành phần 2)</w:t>
            </w:r>
          </w:p>
        </w:tc>
      </w:tr>
      <w:tr w:rsidR="00A40329" w:rsidRPr="00E24264" w14:paraId="044A54EE" w14:textId="77777777" w:rsidTr="00A40329">
        <w:trPr>
          <w:cantSplit/>
          <w:trHeight w:val="231"/>
        </w:trPr>
        <w:tc>
          <w:tcPr>
            <w:tcW w:w="559" w:type="dxa"/>
          </w:tcPr>
          <w:p w14:paraId="5F0FD12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CD753B3" w14:textId="176BAD4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val="vi-VN" w:eastAsia="ko-KR"/>
              </w:rPr>
              <w:t>Bộ Xây Dựng</w:t>
            </w:r>
          </w:p>
        </w:tc>
        <w:tc>
          <w:tcPr>
            <w:tcW w:w="851" w:type="dxa"/>
          </w:tcPr>
          <w:p w14:paraId="6BB3035E" w14:textId="18E3879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Văn bản khác</w:t>
            </w:r>
          </w:p>
        </w:tc>
        <w:tc>
          <w:tcPr>
            <w:tcW w:w="851" w:type="dxa"/>
          </w:tcPr>
          <w:p w14:paraId="4D952B67" w14:textId="6BD4621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Rà soát, sửa đổi</w:t>
            </w:r>
          </w:p>
        </w:tc>
        <w:tc>
          <w:tcPr>
            <w:tcW w:w="5672" w:type="dxa"/>
          </w:tcPr>
          <w:p w14:paraId="4DC346AC" w14:textId="77777777" w:rsidR="00A40329" w:rsidRPr="00E24264" w:rsidRDefault="00A40329" w:rsidP="001E0652">
            <w:pPr>
              <w:tabs>
                <w:tab w:val="left" w:pos="720"/>
              </w:tabs>
              <w:spacing w:after="0" w:line="240" w:lineRule="auto"/>
              <w:ind w:firstLine="256"/>
              <w:jc w:val="both"/>
              <w:rPr>
                <w:rFonts w:ascii="Times New Roman" w:hAnsi="Times New Roman" w:cs="Times New Roman"/>
                <w:iCs/>
                <w:sz w:val="20"/>
                <w:szCs w:val="20"/>
              </w:rPr>
            </w:pPr>
            <w:r w:rsidRPr="00E24264">
              <w:rPr>
                <w:rFonts w:ascii="Times New Roman" w:hAnsi="Times New Roman" w:cs="Times New Roman"/>
                <w:iCs/>
                <w:sz w:val="20"/>
                <w:szCs w:val="20"/>
              </w:rPr>
              <w:t xml:space="preserve">1. </w:t>
            </w:r>
            <w:r w:rsidRPr="00E24264">
              <w:rPr>
                <w:rFonts w:ascii="Times New Roman" w:hAnsi="Times New Roman" w:cs="Times New Roman"/>
                <w:iCs/>
                <w:sz w:val="20"/>
                <w:szCs w:val="20"/>
                <w:lang w:val="vi-VN"/>
              </w:rPr>
              <w:t xml:space="preserve">Tại TCVN 4054: 2005 Đường ô tô </w:t>
            </w:r>
            <w:r w:rsidRPr="00E24264">
              <w:rPr>
                <w:rFonts w:ascii="Times New Roman" w:hAnsi="Times New Roman" w:cs="Times New Roman"/>
                <w:iCs/>
                <w:sz w:val="20"/>
                <w:szCs w:val="20"/>
              </w:rPr>
              <w:t>-</w:t>
            </w:r>
            <w:r w:rsidRPr="00E24264">
              <w:rPr>
                <w:rFonts w:ascii="Times New Roman" w:hAnsi="Times New Roman" w:cs="Times New Roman"/>
                <w:iCs/>
                <w:sz w:val="20"/>
                <w:szCs w:val="20"/>
                <w:lang w:val="vi-VN"/>
              </w:rPr>
              <w:t xml:space="preserve"> yêu cầu thiết kế còn có 02 nội dung quy định chưa thống nhất</w:t>
            </w:r>
            <w:r w:rsidRPr="00E24264">
              <w:rPr>
                <w:rFonts w:ascii="Times New Roman" w:hAnsi="Times New Roman" w:cs="Times New Roman"/>
                <w:iCs/>
                <w:sz w:val="20"/>
                <w:szCs w:val="20"/>
              </w:rPr>
              <w:t>.</w:t>
            </w:r>
          </w:p>
          <w:p w14:paraId="577B1152" w14:textId="77777777" w:rsidR="00A40329" w:rsidRPr="00E24264" w:rsidRDefault="00A40329" w:rsidP="001E0652">
            <w:pPr>
              <w:tabs>
                <w:tab w:val="left" w:pos="720"/>
              </w:tabs>
              <w:spacing w:after="0" w:line="240" w:lineRule="auto"/>
              <w:ind w:firstLine="256"/>
              <w:jc w:val="both"/>
              <w:rPr>
                <w:rFonts w:ascii="Times New Roman" w:hAnsi="Times New Roman" w:cs="Times New Roman"/>
                <w:iCs/>
                <w:sz w:val="20"/>
                <w:szCs w:val="20"/>
                <w:lang w:val="vi-VN"/>
              </w:rPr>
            </w:pPr>
            <w:r w:rsidRPr="00E24264">
              <w:rPr>
                <w:rFonts w:ascii="Times New Roman" w:hAnsi="Times New Roman" w:cs="Times New Roman"/>
                <w:iCs/>
                <w:sz w:val="20"/>
                <w:szCs w:val="20"/>
                <w:lang w:val="vi-VN"/>
              </w:rPr>
              <w:lastRenderedPageBreak/>
              <w:t xml:space="preserve">Tại điểm 7.1.2.1 về nguyên tắc thiết kế nền đường quy định </w:t>
            </w:r>
            <w:bookmarkStart w:id="5" w:name="_Hlk195013986"/>
            <w:r w:rsidRPr="00E24264">
              <w:rPr>
                <w:rFonts w:ascii="Times New Roman" w:hAnsi="Times New Roman" w:cs="Times New Roman"/>
                <w:iCs/>
                <w:sz w:val="20"/>
                <w:szCs w:val="20"/>
                <w:lang w:val="vi-VN"/>
              </w:rPr>
              <w:t>30cm trên cùng phải đảm bảo sức chịu tải CBR tối thiểu bằng 8 đối với đường cấp I, cấp II và bằng 6 đối với đường các cấp khác</w:t>
            </w:r>
            <w:bookmarkEnd w:id="5"/>
            <w:r w:rsidRPr="00E24264">
              <w:rPr>
                <w:rFonts w:ascii="Times New Roman" w:hAnsi="Times New Roman" w:cs="Times New Roman"/>
                <w:iCs/>
                <w:sz w:val="20"/>
                <w:szCs w:val="20"/>
                <w:lang w:val="vi-VN"/>
              </w:rPr>
              <w:t>. Trong khi tại điểm 8.3.7 quy định lớp đáy móng cấu tạo bằng đất hoặc vật liệu thích hợp để đạt được yêu cầu chỉ số CBR ≥ 10, cần bố trí lớp đáy móng thay thế cho 30cm phần đất trên cùng của nền đường cấp I đường cấp II và đường cấp III có 4 làn xe trở lên, nếu bản thân phần đất trên cùng của nền đường không đạt yêu cầu trên.</w:t>
            </w:r>
          </w:p>
          <w:p w14:paraId="275452A7" w14:textId="77777777" w:rsidR="00A40329" w:rsidRPr="00E24264" w:rsidRDefault="00A40329" w:rsidP="001E0652">
            <w:pPr>
              <w:tabs>
                <w:tab w:val="left" w:pos="720"/>
              </w:tabs>
              <w:spacing w:after="0" w:line="240" w:lineRule="auto"/>
              <w:ind w:firstLine="256"/>
              <w:jc w:val="both"/>
              <w:rPr>
                <w:rFonts w:ascii="Times New Roman" w:hAnsi="Times New Roman" w:cs="Times New Roman"/>
                <w:iCs/>
                <w:sz w:val="20"/>
                <w:szCs w:val="20"/>
                <w:lang w:val="vi-VN"/>
              </w:rPr>
            </w:pPr>
            <w:r w:rsidRPr="00E24264">
              <w:rPr>
                <w:rFonts w:ascii="Times New Roman" w:hAnsi="Times New Roman" w:cs="Times New Roman"/>
                <w:iCs/>
                <w:sz w:val="20"/>
                <w:szCs w:val="20"/>
                <w:lang w:val="vi-VN"/>
              </w:rPr>
              <w:t>Quy định tại điểm 8.3.7 trên, được hiểu đối với đường cấp I, đường cấp II, khi 30cm phần đất trên cùng của nền đường không đạt sức chịu tải CBR tối thiểu bằng 10 thì phải thay thế bằng lớp đáy móng đạt yêu cầu sức chịu tải tối thiểu bằng 10. Điều này chưa thống nhất với quy định tại điểm 7.1.2.1 là sức chịu tải CBR tối thiểu bằng 8. Bên cạnh đó, tại điểm 8.3.7 quy định đường cấp III có 4 làn xe trở lên CBR 30cm nền đường trên cùng tối thiểu bằng 10 cũng chưa thống nhất với quy định đối với cấp đường khác (ngoài đường cấp I, cấp II) là CBR tối thiểu bằng 6 tại điểm 7.1.2.1.</w:t>
            </w:r>
          </w:p>
          <w:p w14:paraId="68F39EAB" w14:textId="77777777" w:rsidR="00A40329" w:rsidRPr="00E24264" w:rsidRDefault="00A40329" w:rsidP="001E0652">
            <w:pPr>
              <w:tabs>
                <w:tab w:val="left" w:pos="720"/>
              </w:tabs>
              <w:spacing w:after="0" w:line="240" w:lineRule="auto"/>
              <w:ind w:firstLine="256"/>
              <w:jc w:val="both"/>
              <w:rPr>
                <w:rFonts w:ascii="Times New Roman" w:hAnsi="Times New Roman" w:cs="Times New Roman"/>
                <w:iCs/>
                <w:sz w:val="20"/>
                <w:szCs w:val="20"/>
                <w:lang w:val="vi-VN"/>
              </w:rPr>
            </w:pPr>
            <w:r w:rsidRPr="00E24264">
              <w:rPr>
                <w:rFonts w:ascii="Times New Roman" w:hAnsi="Times New Roman" w:cs="Times New Roman"/>
                <w:iCs/>
                <w:sz w:val="20"/>
                <w:szCs w:val="20"/>
                <w:lang w:val="vi-VN"/>
              </w:rPr>
              <w:t xml:space="preserve">Theo đó, cần thiết phải rà soát, sửa đổi bổ sung quy định thống nhất về sức chịu tải CBR nêu trên để áp dụng trong việc thiết kế, quản lý chất lượng công trình. </w:t>
            </w:r>
          </w:p>
          <w:p w14:paraId="651AE354" w14:textId="77777777" w:rsidR="00A40329" w:rsidRPr="00E24264" w:rsidRDefault="00A40329" w:rsidP="001E0652">
            <w:pPr>
              <w:tabs>
                <w:tab w:val="left" w:pos="720"/>
              </w:tabs>
              <w:spacing w:after="0" w:line="240" w:lineRule="auto"/>
              <w:ind w:firstLine="256"/>
              <w:jc w:val="both"/>
              <w:rPr>
                <w:rFonts w:ascii="Times New Roman" w:hAnsi="Times New Roman" w:cs="Times New Roman"/>
                <w:iCs/>
                <w:sz w:val="20"/>
                <w:szCs w:val="20"/>
                <w:lang w:val="vi-VN"/>
              </w:rPr>
            </w:pPr>
            <w:r w:rsidRPr="00E24264">
              <w:rPr>
                <w:rFonts w:ascii="Times New Roman" w:hAnsi="Times New Roman" w:cs="Times New Roman"/>
                <w:iCs/>
                <w:sz w:val="20"/>
                <w:szCs w:val="20"/>
                <w:lang w:val="vi-VN"/>
              </w:rPr>
              <w:t>2. Về sự chưa thống nhất giữa hai tiêu chuẩn trong việc sử dụng dung dịch Bentonit.</w:t>
            </w:r>
          </w:p>
          <w:p w14:paraId="6EAEEACD" w14:textId="53900C3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hAnsi="Times New Roman" w:cs="Times New Roman"/>
                <w:iCs/>
                <w:sz w:val="20"/>
                <w:szCs w:val="20"/>
                <w:lang w:val="vi-VN"/>
              </w:rPr>
              <w:t xml:space="preserve">Còn có sự khác biệt giữa hai tiêu chuẩn về các yêu cầu kỹ thuật cho dung dịch Bentonit, Polymer. </w:t>
            </w:r>
            <w:r w:rsidRPr="00E24264">
              <w:rPr>
                <w:rFonts w:ascii="Times New Roman" w:hAnsi="Times New Roman" w:cs="Times New Roman"/>
                <w:bCs/>
                <w:iCs/>
                <w:sz w:val="20"/>
                <w:szCs w:val="20"/>
                <w:lang w:val="vi-VN"/>
              </w:rPr>
              <w:t>Do vậy, cần chỉnh sửa thống nhất về quy định tại hai tiêu chuẩn trong việc sử dụng dung dịch Bentonit.</w:t>
            </w:r>
          </w:p>
        </w:tc>
        <w:tc>
          <w:tcPr>
            <w:tcW w:w="3827" w:type="dxa"/>
          </w:tcPr>
          <w:p w14:paraId="5831A01A"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Chủ trì nghiên cứu, rà soát để thống nhất áp dụng hoặc có ý kiến với các Bộ, cơ quan liên quan nghiên cứu, xử lý một số nội dung sau:</w:t>
            </w:r>
          </w:p>
          <w:p w14:paraId="02D7E489"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 Về sự chưa thống nhất trong quy định sức chịu tải CBR của 30 cm lớp trên  trên cùng của nền đường tại Tiêu chuẩn Việt Nam TCVN 4054:2005 Đường ô tô – yêu cầu thiết kế: Rà soát, chỉnh sửa Tiêu chuẩn Việt Nam TCVN 4054:2005 Đường ô tô – yêu cầu thiết kế để thống nhất thống nhất trong quy định sức chịu tải CBR của 30 cm lớp trên  trên cùng của nền đường phục vụ công tác thiết kế, quản lý chất lượng công trình.</w:t>
            </w:r>
          </w:p>
          <w:p w14:paraId="2F66FC24"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1CE3B68B"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66DEA538"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0675546D"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5E348F78"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2170DF70"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0238944C"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4F9DDB76"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5F90C04"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6E4EF79A"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4772B940" w14:textId="667DBC6A"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val="vi-VN" w:eastAsia="ko-KR"/>
              </w:rPr>
              <w:t>-Về sự chưa thống nhất giữa Tiêu chuẩn quốc gia TCVN 12885:2020 Thi công cầu đường bộ và Tiêu chuẩn quốc gia TCVN 9395:2012 Cọc khoan nhồi – thi công và nghiệm thu ở quy định về dung dịch Bentonit: rà soát, chỉnh sửa đảm bảo thống nhất về các yêu cầu kỹ thuật đối với dung dịch Bentonit và việc sử dụng dung dịch polymer trong công tác thi công, nghiệm thu cọc khoan nhồi.</w:t>
            </w:r>
          </w:p>
        </w:tc>
        <w:tc>
          <w:tcPr>
            <w:tcW w:w="2126" w:type="dxa"/>
          </w:tcPr>
          <w:p w14:paraId="1739B2FB" w14:textId="00B216E3"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val="vi-VN" w:eastAsia="ko-KR"/>
              </w:rPr>
              <w:lastRenderedPageBreak/>
              <w:t xml:space="preserve">Hoạt động xây dựng và việc quản lý, sử dụng vốn đầu tư Dự án đầu tư </w:t>
            </w:r>
            <w:r w:rsidRPr="00E24264">
              <w:rPr>
                <w:rFonts w:ascii="Times New Roman" w:eastAsia="Batang" w:hAnsi="Times New Roman" w:cs="Times New Roman"/>
                <w:noProof/>
                <w:sz w:val="20"/>
                <w:szCs w:val="20"/>
                <w:lang w:val="vi-VN" w:eastAsia="ko-KR"/>
              </w:rPr>
              <w:lastRenderedPageBreak/>
              <w:t>xây dựng các tuyến đường trục kết nối các khu chức năng trong Khu kinh tế tỉnh Thái Bình</w:t>
            </w:r>
          </w:p>
        </w:tc>
      </w:tr>
      <w:tr w:rsidR="00A40329" w:rsidRPr="00E24264" w14:paraId="612EBD25" w14:textId="77777777" w:rsidTr="00A40329">
        <w:trPr>
          <w:cantSplit/>
          <w:trHeight w:val="231"/>
        </w:trPr>
        <w:tc>
          <w:tcPr>
            <w:tcW w:w="559" w:type="dxa"/>
          </w:tcPr>
          <w:p w14:paraId="612EBD1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1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Công Thương</w:t>
            </w:r>
          </w:p>
        </w:tc>
        <w:tc>
          <w:tcPr>
            <w:tcW w:w="851" w:type="dxa"/>
          </w:tcPr>
          <w:p w14:paraId="612EBD1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1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D1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Chủ đầu tư lựa chọn áp dụng định mức lắp đặt thiết bị nhà máy nhiệt điện được ban hành tại Quyết định số 3814/QĐ-BCN ngày 26/12/2006 của Bộ Công nghiệp có sự chênh lệch so với việc áp dụng định mức ban hành tại Thông tư số 10/2019/TT-BXD ngày 26/12/2019 của Bộ Xây dựng (Một số định mức có tính chất công việc tương đương nhưng định mức khác nhau như: lắp đặt turbin khí (ND1.4121, ND1.4122 so với MK.02100, MK.02200), lắp đặt turbin hơi (ND1.4111, ND1.4112 so với MK.01100, MK.01200), lắp đặt máy phát turbin khí (ND1.6121, ND1.6121 so với ML.02100, ML.02200), máy phát turbin hơi (ND1.6111, ND1.6112 so với ML.01100, ML.01200)… Tại thời điểm Bộ Xây dựng ban hành định mức tại Thông tư số 10/2019/TT-BXD, Định mức lắp đặt thiết bị nhà </w:t>
            </w:r>
            <w:r w:rsidRPr="00E24264">
              <w:rPr>
                <w:rFonts w:ascii="Times New Roman" w:eastAsia="Times New Roman" w:hAnsi="Times New Roman" w:cs="Times New Roman"/>
                <w:sz w:val="20"/>
                <w:szCs w:val="20"/>
              </w:rPr>
              <w:lastRenderedPageBreak/>
              <w:t>máy nhiệt điện ban hành tại Quyết định số 3814/QĐ-BCN ngày 26/12/2006 của Bộ Công nghiệp vẫn chưa hết hiệu lực. Tại Điều 2 Quyết định số 3814/QĐ-BCN ngày 26/12/2006 của Bộ Công nghiệp có nêu: “Giao Tập đoàn Điện lực Việt Nam chỉ đạo các Ban quản lý dự án, các đơn vị tư vấn theo dõi tổng kết số liệu thực tế, kịp thời đề xuất các ý kiến bổ sung, hiệu chỉnh tập định mức khi cần thiết”.</w:t>
            </w:r>
          </w:p>
          <w:p w14:paraId="612EBD2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khoản 6 Điều 15 Nghị định số 68/2019/NĐ-CP quy định: “Hệ thống định mức xây dựng do cơ quan quản lý nhà nước có thẩm quyền ban hành được rà soát thường xuyên và ban hành theo định kỳ 02 năm/lần đối với các định mức mới và định mức cũ có điều chỉnh”)</w:t>
            </w:r>
          </w:p>
        </w:tc>
        <w:tc>
          <w:tcPr>
            <w:tcW w:w="3827" w:type="dxa"/>
          </w:tcPr>
          <w:p w14:paraId="612EBD21"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Chỉ đạo các đơn vị có liên quan rà soát, cập nhật hệ thống định mức xây dựng công tác lắp đặt thiết bị nhà máy nhiệt điện làm cơ sở pháp lý để các chủ đầu tư quản lý chi phí theo quy định tại khoản 1 Điều 22 và khoản 6 Điều 20 Nghị định số 10/2021/NĐ-CP ngày 09/02/2021 của Chính phủ. Đồng thời xác định trách nhiệm của tập thể, cá nhân có liên quan trong việc chậm trễ rà soát, cập nhật hệ thống định mức theo quy định của Chính phủ</w:t>
            </w:r>
          </w:p>
        </w:tc>
        <w:tc>
          <w:tcPr>
            <w:tcW w:w="2126" w:type="dxa"/>
          </w:tcPr>
          <w:p w14:paraId="612EBD2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xây dựng và việc quản lý, sử dụng vốn đầu tư Dự án đầu tư xây dựng Nhà máy điện Nhơn Trạch 3 và Nhơn Trạch 4</w:t>
            </w:r>
          </w:p>
        </w:tc>
      </w:tr>
      <w:tr w:rsidR="00A40329" w:rsidRPr="00E24264" w14:paraId="612EBD2F" w14:textId="77777777" w:rsidTr="00A40329">
        <w:trPr>
          <w:cantSplit/>
          <w:trHeight w:val="231"/>
        </w:trPr>
        <w:tc>
          <w:tcPr>
            <w:tcW w:w="559" w:type="dxa"/>
          </w:tcPr>
          <w:p w14:paraId="612EBD2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2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Công Thương</w:t>
            </w:r>
          </w:p>
        </w:tc>
        <w:tc>
          <w:tcPr>
            <w:tcW w:w="851" w:type="dxa"/>
          </w:tcPr>
          <w:p w14:paraId="612EBD2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2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D2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thời điểm lập dự toán do không có định mức, đơn giá một số công tác chế tạo cơ khí thủy công nên chủ đầu tư đã tính toán, vận dụng đơn giá chế tạo theo Quyết định số 2519/QĐ-BCN ngày 24/7/2007 của Bộ Công nghiệp ban hành tập “Đơn giá chế tạo thiết bị cơ khí thủy công” là chưa phù hợp với đối tượng, phạm vi điều chỉnh được quy định tại Điều 1 của Quyết định số 2519/QĐ-BCN chỉ ban hành áp dụng cho một số công trình cụ thể . Tuy nhiên, việc vận dụng, tính toán theo bộ đơn giá này là căn cứ theo quy định tại Điểm a, Mục 2, Nghị quyết số 108/NQ-CP ngày 17/7/2020 của Chính phủ “Về một số nhiệm vụ, giải pháp tháo gỡ khó khăn, vướng mắc trong quá trình triển khai Nghị định số 68/2019/NĐ-CP của Chính phủ về quản lý chi phí đầu tư xây dựng”. Đến thời điểm hiện tại, công tác chế tạo thiết bị cơ khí thủy công chưa được cơ quan quản lý nhà nước có thẩm quyền (Bộ Công thương) thực hiện rà soát, cập nhật hệ thống định mức xây dựng theo Khoản 1, Điều 22, Nghị định số 10/2021/NĐ-CP  và ban hành theo Khoản 6, Điều 20, Nghị định số 10/2021/NĐ-CP  và xây dựng Hệ thống cơ sở dữ liệu về định mức xây dựng, giá xây dựng công trình theo khoản 3 Điều 28 Nghị định số 10/2021/NĐ-CP ngày 9/02/2021</w:t>
            </w:r>
          </w:p>
        </w:tc>
        <w:tc>
          <w:tcPr>
            <w:tcW w:w="3827" w:type="dxa"/>
          </w:tcPr>
          <w:p w14:paraId="612EBD2B"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Chỉ đạo các đơn vị có liên quan có trách nhiệm rà soát, cập nhật, xây dựng, quản lý, vận hành hệ thống cơ sở dữ liệu để phục vụ công tác quản lý nhà nước về chi phí đầu tư xây dựng trong lĩnh vực ngành, rà soát, cập nhật đơn giá, định mức xây dựng công tác chế tạo thủy công công trình thủy điện làm cơ sở pháp lý áp dụng chung cho các công trình thủy điện, có tính ổn định lâu dài theo quy định tại Khoản 1, Điều 22, Nghị định số 10/2021/NĐ-CP, Khoản 6, Điều 20, Nghị định số 10/2021/NĐ-CP và khoản 3, Điều 28, Nghị định số 10/2021/NĐ-CP ngày 9/02/2021 của Thủ tướng Chính phủ và các quy định của pháp luật hiện hành, đồng thời chỉ đạo làm rõ trách nhiệm tập thể, cá nhân có liên quan trong việc chậm rà soát, ban hành định mức xây dựng công tác chế tạo thủy công công trình thủy điện</w:t>
            </w:r>
          </w:p>
        </w:tc>
        <w:tc>
          <w:tcPr>
            <w:tcW w:w="2126" w:type="dxa"/>
          </w:tcPr>
          <w:p w14:paraId="612EBD2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xây dựng và quản lý, sử dụng vốn đầu tư dự án Nhà máy thủy điện Ialy mở rộng; Dự án nhà máy thủy điện Hòa Bình mở rộng</w:t>
            </w:r>
          </w:p>
        </w:tc>
      </w:tr>
      <w:tr w:rsidR="00A40329" w:rsidRPr="00E24264" w14:paraId="612EBD3C" w14:textId="77777777" w:rsidTr="00A40329">
        <w:trPr>
          <w:cantSplit/>
          <w:trHeight w:val="231"/>
        </w:trPr>
        <w:tc>
          <w:tcPr>
            <w:tcW w:w="559" w:type="dxa"/>
          </w:tcPr>
          <w:p w14:paraId="612EBD3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3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Hà Nội</w:t>
            </w:r>
          </w:p>
        </w:tc>
        <w:tc>
          <w:tcPr>
            <w:tcW w:w="851" w:type="dxa"/>
          </w:tcPr>
          <w:p w14:paraId="612EBD3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3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D3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Việc hỗ trợ tự lo tái định cư khi nhà nước thu hồi đất: UBND thành phố Hà Nội ban hành Quyết định số 47/2016/QĐ-UBND ngày 08/11/2016 về việc phê duyệt mức hỗ trợ tự lo tái định cư bằng tiền đối với trường hợp được bố trí nhà tái định cư còn một số bất cập sau:</w:t>
            </w:r>
          </w:p>
          <w:p w14:paraId="612EBD3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Điều 1 Quyết định số 47/2016/QĐ-UBND quy định mức hỗ trợ cho các đối tượng tự lo tái định cư bằng tiền đối với các dự án có chính sách bố trí nhà tái định cư trên địa bàn thành phố là 6.800.000 đ/m2 (sáu triệu tám trăm nghìn đồng trên một mét vuông), tuy nhiên đơn giá này không quy định áp trên diện tích đất bị thu hồi hay áp trên diện tích căn tái định cư bốc thăm được (hiện nay UBND quận Hai Bà Trưng đang áp dụng chính sách hỗ trợ này trên diện tích căn </w:t>
            </w:r>
            <w:r w:rsidRPr="00E24264">
              <w:rPr>
                <w:rFonts w:ascii="Times New Roman" w:eastAsia="Times New Roman" w:hAnsi="Times New Roman" w:cs="Times New Roman"/>
                <w:sz w:val="20"/>
                <w:szCs w:val="20"/>
              </w:rPr>
              <w:lastRenderedPageBreak/>
              <w:t>hộ tái định cư bốc thăm được ). Quá trình thực hiện chính sách tại một số hộ bị thu hồi đất có sự không công bằng (cụ thể: một số hộ dân có diện tích đất bị thu hồi lớn hơn và số nhân nhiều lớn nhưng lại được hỗ trợ tự lo tái định cư số tiền nhỏ hơn hộ dân khác có diện tích đất bị thu hồi nhỏ hơn và số nhân khẩu ít hơn ). Hiện nay, UBND thành phố Hà Nội đã ban hành Quyết định số 56/2024/QĐ-UBND ngày 06/9/2024 về việc ban hành quy định một số nội dung về bồi thường, hỗ trợ, tái định cư khi nhà nhà nước thu hồi đất có quy định khác đối với nội dung này . Tuy nhiên, tại Điều 2 về hiệu lực thi hành quyết định số 56/2024/QĐ-UBND ngày 06/9/2024 chưa quy định thay thế Quyết định số 47/2016/QĐ-UBND, dẫn đến cùng một chính sách hỗ trợ tự lo tái định cư nhưng có hai văn bản quy định khác nhau kể từ ngày 20/9/2024</w:t>
            </w:r>
          </w:p>
          <w:p w14:paraId="612EBD3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Thưởng tiến độ bàn giao mặt bằng 30.000.000 đồng cho hộ ông Nguyễn Trung Hậu và bà Nguyễn Thị Phương (phường Đồng Tâm) khi Biên bản bàn giao mặt bằng vào ngày 06/7/2019 trong khi nhận tiền vào ngày 04/7/2019 là chưa phù hợp quy định tại điểm c.2 khoản 2 Điều 1 Nghị quyết số 09/2013/NQ-HĐND ngày 17/7/2013 của HĐND TP. Hà Nội ( Chủ sử dụng đất khi bị thu hồi toàn bộ đất ở hoặc thu hồi một phần đất ở nhưng buộc phải phá dỡ toàn bộ nhà ở, đã nhận tiền bồi thường, hỗ trợ, bàn giao mặt bằng đúng tiến độ thì được thưởng là: 30.000.000 đồng đối với trường hợp bàn giao mặt bằng trong thời gian 01 ngày kể từ thời điểm nhận tiền bồi thường, hỗ trợ; 20.000.000 đồng đối với trường hợp bàn giao mặt bằng trong thời gian 04 ngày kể từ thời điểm nhận tiền bồi thường, hỗ trợ; ..”).</w:t>
            </w:r>
          </w:p>
        </w:tc>
        <w:tc>
          <w:tcPr>
            <w:tcW w:w="3827" w:type="dxa"/>
          </w:tcPr>
          <w:p w14:paraId="612EBD37"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Chỉ đạo các sở ngành chuyên môn của thành phố rà soát về hiệu lực đối với chính sách hỗ trợ tự lo tái định cư tại Quyết định số 47/2016/QĐ-UBND của UBND thành phố. Trường hợp áp dụng chính sách tự lo tái định cư theo Quyết định 56/2024/QĐ-UBND, UBND thành phố khẩn trương ban hành văn bản về chấm dứt hiệu lực của Quyết định số 47/2016/QĐ-UBND hoặc sửa đổi Điều 2 Quyết định số 56/2024/QĐ-UBND về hiệu lực thi hành thay thế Quyết định số 47/2016/QĐ-UBND</w:t>
            </w:r>
          </w:p>
          <w:p w14:paraId="612EBD38"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Hội đồng nhân dân thành phố Hà Nội xem xét tính bất cập của điểm c khoản 2 Điều 1 Nghị quyết số 09/2013/NQ-HĐND ngày 17/7/2013 của HĐND thành phố Hà Nội khi có trường hợp bàn giao mặt bằng ngay sau khi nhận tiền theo thông báo không phải của lần 1 (không phải do nguyên nhân khách quan) tuy nhiên vẫn được nhận thưởng tiến độ</w:t>
            </w:r>
          </w:p>
        </w:tc>
        <w:tc>
          <w:tcPr>
            <w:tcW w:w="2126" w:type="dxa"/>
          </w:tcPr>
          <w:p w14:paraId="612EBD3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Hoạt động xây dựng và việc quản lý, sử dụng vốn đầu tư Dự án xây dựng tuyến đường bộ trên cao dọc đường vành đai 2 đoạn từ cầu Vĩnh Tuy đến ngã Tư Sở, kết hợp với mở rộng theo quy hoạch phần đi bằng đoạn từ Vĩnh Tuy đến Ngã Tư Vọng theo hình thức Hợp đồng BT</w:t>
            </w:r>
          </w:p>
        </w:tc>
      </w:tr>
      <w:tr w:rsidR="00A40329" w:rsidRPr="00E24264" w14:paraId="612EBD68" w14:textId="77777777" w:rsidTr="00A40329">
        <w:trPr>
          <w:cantSplit/>
          <w:trHeight w:val="231"/>
        </w:trPr>
        <w:tc>
          <w:tcPr>
            <w:tcW w:w="559" w:type="dxa"/>
          </w:tcPr>
          <w:p w14:paraId="612EBD3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3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3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4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4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Tại TCVN 4054: 2005 Đường ô tô - yêu cầu thiết kế còn có 02 nội dung quy định chưa thống nhất.</w:t>
            </w:r>
          </w:p>
          <w:p w14:paraId="612EBD4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điểm 7.1.2.1 về nguyên tắc thiết kế nền đường quy định 30cm trên cùng phải đảm bảo sức chịu tải CBR tối thiểu bằng 8 đối với đường cấp I, cấp II và bằng 6 đối với đường các cấp khác. Trong khi tại điểm 8.3.7 quy định lớp đáy móng cấu tạo bằng đất hoặc vật liệu thích hợp để đạt được yêu cầu chỉ số CBR ≥ 10, cần bố trí lớp đáy móng thay thế cho 30cm phần đất trên cùng của nền đường cấp I đường cấp II và đường cấp III có 4 làn xe trở lên, nếu bản thân phần đất trên cùng của nền đường không đạt yêu cầu trên.</w:t>
            </w:r>
          </w:p>
          <w:p w14:paraId="612EBD4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Quy định tại điểm 8.3.7 trên, được hiểu đối với đường cấp I, đường cấp II, khi 30cm phần đất trên cùng của nền đường không đạt sức chịu tải CBR tối thiểu bằng 10 thì phải thay thế bằng lớp đáy móng đạt yêu cầu sức chịu tải tối thiểu bằng 10. Điều này chưa thống nhất với quy định tại điểm 7.1.2.1 là sức chịu tải CBR tối thiểu bằng 8. Bên cạnh đó, tại điểm 8.3.7 quy định đường cấp III có 4 làn xe trở </w:t>
            </w:r>
            <w:r w:rsidRPr="00E24264">
              <w:rPr>
                <w:rFonts w:ascii="Times New Roman" w:eastAsia="Times New Roman" w:hAnsi="Times New Roman" w:cs="Times New Roman"/>
                <w:sz w:val="20"/>
                <w:szCs w:val="20"/>
              </w:rPr>
              <w:lastRenderedPageBreak/>
              <w:t>lên CBR 30cm nền đường trên cùng tối thiểu bằng 10 cũng chưa thống nhất với quy định đối với cấp đường khác (ngoài đường cấp I, cấp II) là CBR tối thiểu bằng 6 tại điểm 7.1.2.1.</w:t>
            </w:r>
          </w:p>
          <w:p w14:paraId="612EBD4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đó, cần thiết phải rà soát, sửa đổi bổ sung quy định thống nhất về sức chịu tải CBR nêu trên để áp dụng trong việc thiết kế, quản lý chất lượng công trình.</w:t>
            </w:r>
          </w:p>
          <w:p w14:paraId="612EBD45" w14:textId="77777777" w:rsidR="00A40329" w:rsidRPr="00E24264" w:rsidRDefault="00A40329" w:rsidP="001E0652">
            <w:pPr>
              <w:tabs>
                <w:tab w:val="left" w:pos="72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Về sự chưa thống nhất giữa hai tiêu chuẩn trong việc sử dụng dung dịch Bentonit.</w:t>
            </w:r>
          </w:p>
          <w:p w14:paraId="612EBD46" w14:textId="77777777" w:rsidR="00A40329" w:rsidRPr="00E24264" w:rsidRDefault="00A40329" w:rsidP="001E0652">
            <w:pPr>
              <w:tabs>
                <w:tab w:val="left" w:pos="72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Dưới đây là bảng so sánh Tiêu chuẩn quốc gia TCVN 12885:2020 Thi công cầu đường bộ và Tiêu chuẩn quốc gia TCVN 9395:2012 Cọc khoan nhồi – Thi công và nghiệm thu về yêu cầu đối với dung dịch bentonit sử dụng trong thi công cọc khoan nhồi:</w:t>
            </w:r>
          </w:p>
          <w:tbl>
            <w:tblPr>
              <w:tblStyle w:val="1"/>
              <w:tblW w:w="38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1139"/>
              <w:gridCol w:w="886"/>
              <w:gridCol w:w="1101"/>
            </w:tblGrid>
            <w:tr w:rsidR="00A40329" w:rsidRPr="00E24264" w14:paraId="612EBD4B" w14:textId="77777777">
              <w:trPr>
                <w:trHeight w:val="401"/>
                <w:tblHeader/>
                <w:jc w:val="center"/>
              </w:trPr>
              <w:tc>
                <w:tcPr>
                  <w:tcW w:w="697" w:type="dxa"/>
                  <w:vAlign w:val="center"/>
                </w:tcPr>
                <w:p w14:paraId="612EBD47"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Thông số</w:t>
                  </w:r>
                </w:p>
              </w:tc>
              <w:tc>
                <w:tcPr>
                  <w:tcW w:w="1139" w:type="dxa"/>
                  <w:vAlign w:val="center"/>
                </w:tcPr>
                <w:p w14:paraId="612EBD48"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TCVN 12885:2020 (Phần 5, mục 6.4)</w:t>
                  </w:r>
                </w:p>
              </w:tc>
              <w:tc>
                <w:tcPr>
                  <w:tcW w:w="886" w:type="dxa"/>
                  <w:vAlign w:val="center"/>
                </w:tcPr>
                <w:p w14:paraId="612EBD49"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TCVN 9395:2012 (mục 12.2)</w:t>
                  </w:r>
                </w:p>
              </w:tc>
              <w:tc>
                <w:tcPr>
                  <w:tcW w:w="1101" w:type="dxa"/>
                  <w:vAlign w:val="center"/>
                </w:tcPr>
                <w:p w14:paraId="612EBD4A"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Sự khác nhau</w:t>
                  </w:r>
                </w:p>
              </w:tc>
            </w:tr>
            <w:tr w:rsidR="00A40329" w:rsidRPr="00E24264" w14:paraId="612EBD50" w14:textId="77777777">
              <w:trPr>
                <w:trHeight w:val="159"/>
                <w:jc w:val="center"/>
              </w:trPr>
              <w:tc>
                <w:tcPr>
                  <w:tcW w:w="697" w:type="dxa"/>
                  <w:tcMar>
                    <w:top w:w="137" w:type="dxa"/>
                    <w:left w:w="15" w:type="dxa"/>
                    <w:bottom w:w="137" w:type="dxa"/>
                    <w:right w:w="15" w:type="dxa"/>
                  </w:tcMar>
                  <w:vAlign w:val="center"/>
                </w:tcPr>
                <w:p w14:paraId="612EBD4C"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Độ nhớt</w:t>
                  </w:r>
                </w:p>
              </w:tc>
              <w:tc>
                <w:tcPr>
                  <w:tcW w:w="1139" w:type="dxa"/>
                  <w:tcMar>
                    <w:top w:w="137" w:type="dxa"/>
                    <w:left w:w="15" w:type="dxa"/>
                    <w:bottom w:w="137" w:type="dxa"/>
                    <w:right w:w="15" w:type="dxa"/>
                  </w:tcMar>
                  <w:vAlign w:val="center"/>
                </w:tcPr>
                <w:p w14:paraId="612EBD4D"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29.6 - 52.9 s/l</w:t>
                  </w:r>
                </w:p>
              </w:tc>
              <w:tc>
                <w:tcPr>
                  <w:tcW w:w="886" w:type="dxa"/>
                  <w:tcMar>
                    <w:top w:w="137" w:type="dxa"/>
                    <w:left w:w="15" w:type="dxa"/>
                    <w:bottom w:w="137" w:type="dxa"/>
                    <w:right w:w="15" w:type="dxa"/>
                  </w:tcMar>
                  <w:vAlign w:val="center"/>
                </w:tcPr>
                <w:p w14:paraId="612EBD4E"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18 - 45 s</w:t>
                  </w:r>
                </w:p>
              </w:tc>
              <w:tc>
                <w:tcPr>
                  <w:tcW w:w="1101" w:type="dxa"/>
                  <w:tcMar>
                    <w:top w:w="137" w:type="dxa"/>
                    <w:left w:w="15" w:type="dxa"/>
                    <w:bottom w:w="137" w:type="dxa"/>
                    <w:right w:w="15" w:type="dxa"/>
                  </w:tcMar>
                  <w:vAlign w:val="center"/>
                </w:tcPr>
                <w:p w14:paraId="612EBD4F"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Chênh lệch 7.1 s/l</w:t>
                  </w:r>
                </w:p>
              </w:tc>
            </w:tr>
            <w:tr w:rsidR="00A40329" w:rsidRPr="00E24264" w14:paraId="612EBD55" w14:textId="77777777">
              <w:trPr>
                <w:trHeight w:val="240"/>
                <w:jc w:val="center"/>
              </w:trPr>
              <w:tc>
                <w:tcPr>
                  <w:tcW w:w="697" w:type="dxa"/>
                  <w:tcMar>
                    <w:top w:w="137" w:type="dxa"/>
                    <w:left w:w="15" w:type="dxa"/>
                    <w:bottom w:w="137" w:type="dxa"/>
                    <w:right w:w="15" w:type="dxa"/>
                  </w:tcMar>
                  <w:vAlign w:val="center"/>
                </w:tcPr>
                <w:p w14:paraId="612EBD51"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pH</w:t>
                  </w:r>
                </w:p>
              </w:tc>
              <w:tc>
                <w:tcPr>
                  <w:tcW w:w="1139" w:type="dxa"/>
                  <w:tcMar>
                    <w:top w:w="137" w:type="dxa"/>
                    <w:left w:w="15" w:type="dxa"/>
                    <w:bottom w:w="137" w:type="dxa"/>
                    <w:right w:w="15" w:type="dxa"/>
                  </w:tcMar>
                  <w:vAlign w:val="center"/>
                </w:tcPr>
                <w:p w14:paraId="612EBD52"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8 – 11</w:t>
                  </w:r>
                </w:p>
              </w:tc>
              <w:tc>
                <w:tcPr>
                  <w:tcW w:w="886" w:type="dxa"/>
                  <w:tcMar>
                    <w:top w:w="137" w:type="dxa"/>
                    <w:left w:w="15" w:type="dxa"/>
                    <w:bottom w:w="137" w:type="dxa"/>
                    <w:right w:w="15" w:type="dxa"/>
                  </w:tcMar>
                  <w:vAlign w:val="center"/>
                </w:tcPr>
                <w:p w14:paraId="612EBD53"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7 – 9</w:t>
                  </w:r>
                </w:p>
              </w:tc>
              <w:tc>
                <w:tcPr>
                  <w:tcW w:w="1101" w:type="dxa"/>
                  <w:tcMar>
                    <w:top w:w="137" w:type="dxa"/>
                    <w:left w:w="15" w:type="dxa"/>
                    <w:bottom w:w="137" w:type="dxa"/>
                    <w:right w:w="15" w:type="dxa"/>
                  </w:tcMar>
                  <w:vAlign w:val="center"/>
                </w:tcPr>
                <w:p w14:paraId="612EBD54"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Chênh lệch 1-2 đơn vị</w:t>
                  </w:r>
                </w:p>
              </w:tc>
            </w:tr>
            <w:tr w:rsidR="00A40329" w:rsidRPr="00E24264" w14:paraId="612EBD5A" w14:textId="77777777">
              <w:trPr>
                <w:trHeight w:val="132"/>
                <w:jc w:val="center"/>
              </w:trPr>
              <w:tc>
                <w:tcPr>
                  <w:tcW w:w="697" w:type="dxa"/>
                  <w:tcMar>
                    <w:top w:w="137" w:type="dxa"/>
                    <w:left w:w="15" w:type="dxa"/>
                    <w:bottom w:w="137" w:type="dxa"/>
                    <w:right w:w="15" w:type="dxa"/>
                  </w:tcMar>
                  <w:vAlign w:val="center"/>
                </w:tcPr>
                <w:p w14:paraId="612EBD56"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Hàm lượng cát</w:t>
                  </w:r>
                </w:p>
              </w:tc>
              <w:tc>
                <w:tcPr>
                  <w:tcW w:w="1139" w:type="dxa"/>
                  <w:tcMar>
                    <w:top w:w="137" w:type="dxa"/>
                    <w:left w:w="15" w:type="dxa"/>
                    <w:bottom w:w="137" w:type="dxa"/>
                    <w:right w:w="15" w:type="dxa"/>
                  </w:tcMar>
                  <w:vAlign w:val="center"/>
                </w:tcPr>
                <w:p w14:paraId="612EBD57"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Gungsuh" w:hAnsi="Times New Roman" w:cs="Times New Roman"/>
                      <w:sz w:val="20"/>
                      <w:szCs w:val="20"/>
                    </w:rPr>
                    <w:t>≤4%</w:t>
                  </w:r>
                </w:p>
              </w:tc>
              <w:tc>
                <w:tcPr>
                  <w:tcW w:w="886" w:type="dxa"/>
                  <w:tcMar>
                    <w:top w:w="137" w:type="dxa"/>
                    <w:left w:w="15" w:type="dxa"/>
                    <w:bottom w:w="137" w:type="dxa"/>
                    <w:right w:w="15" w:type="dxa"/>
                  </w:tcMar>
                  <w:vAlign w:val="center"/>
                </w:tcPr>
                <w:p w14:paraId="612EBD58"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&lt;6%</w:t>
                  </w:r>
                </w:p>
              </w:tc>
              <w:tc>
                <w:tcPr>
                  <w:tcW w:w="1101" w:type="dxa"/>
                  <w:tcMar>
                    <w:top w:w="137" w:type="dxa"/>
                    <w:left w:w="15" w:type="dxa"/>
                    <w:bottom w:w="137" w:type="dxa"/>
                    <w:right w:w="15" w:type="dxa"/>
                  </w:tcMar>
                  <w:vAlign w:val="center"/>
                </w:tcPr>
                <w:p w14:paraId="612EBD59"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Chênh lệch 2%</w:t>
                  </w:r>
                </w:p>
              </w:tc>
            </w:tr>
            <w:tr w:rsidR="00A40329" w:rsidRPr="00E24264" w14:paraId="612EBD5F" w14:textId="77777777">
              <w:trPr>
                <w:trHeight w:val="276"/>
                <w:jc w:val="center"/>
              </w:trPr>
              <w:tc>
                <w:tcPr>
                  <w:tcW w:w="697" w:type="dxa"/>
                  <w:tcMar>
                    <w:top w:w="137" w:type="dxa"/>
                    <w:left w:w="15" w:type="dxa"/>
                    <w:bottom w:w="137" w:type="dxa"/>
                    <w:right w:w="15" w:type="dxa"/>
                  </w:tcMar>
                  <w:vAlign w:val="center"/>
                </w:tcPr>
                <w:p w14:paraId="612EBD5B"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Dung dịch polymer</w:t>
                  </w:r>
                </w:p>
              </w:tc>
              <w:tc>
                <w:tcPr>
                  <w:tcW w:w="1139" w:type="dxa"/>
                  <w:tcMar>
                    <w:top w:w="137" w:type="dxa"/>
                    <w:left w:w="15" w:type="dxa"/>
                    <w:bottom w:w="137" w:type="dxa"/>
                    <w:right w:w="15" w:type="dxa"/>
                  </w:tcMar>
                  <w:vAlign w:val="center"/>
                </w:tcPr>
                <w:p w14:paraId="612EBD5C"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Được phép sử dụng</w:t>
                  </w:r>
                </w:p>
              </w:tc>
              <w:tc>
                <w:tcPr>
                  <w:tcW w:w="886" w:type="dxa"/>
                  <w:tcMar>
                    <w:top w:w="137" w:type="dxa"/>
                    <w:left w:w="15" w:type="dxa"/>
                    <w:bottom w:w="137" w:type="dxa"/>
                    <w:right w:w="15" w:type="dxa"/>
                  </w:tcMar>
                  <w:vAlign w:val="center"/>
                </w:tcPr>
                <w:p w14:paraId="612EBD5D"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Không đề cập</w:t>
                  </w:r>
                </w:p>
              </w:tc>
              <w:tc>
                <w:tcPr>
                  <w:tcW w:w="1101" w:type="dxa"/>
                  <w:tcMar>
                    <w:top w:w="137" w:type="dxa"/>
                    <w:left w:w="15" w:type="dxa"/>
                    <w:bottom w:w="137" w:type="dxa"/>
                    <w:right w:w="15" w:type="dxa"/>
                  </w:tcMar>
                  <w:vAlign w:val="center"/>
                </w:tcPr>
                <w:p w14:paraId="612EBD5E" w14:textId="77777777" w:rsidR="00A40329" w:rsidRPr="00E24264" w:rsidRDefault="00A40329" w:rsidP="0021223B">
                  <w:pPr>
                    <w:framePr w:hSpace="181" w:wrap="around" w:vAnchor="text" w:hAnchor="text" w:x="-152" w:y="1"/>
                    <w:widowControl w:val="0"/>
                    <w:tabs>
                      <w:tab w:val="left" w:pos="720"/>
                    </w:tabs>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định chưa thống nhất</w:t>
                  </w:r>
                </w:p>
              </w:tc>
            </w:tr>
          </w:tbl>
          <w:p w14:paraId="612EBD6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Qua bảng so sánh trên, có thể thấy sự khác biệt giữa hai tiêu chuẩn về các yêu cầu kỹ thuật cho dung dịch Bentonit, Polymer. Do vậy, cần chỉnh sửa thống nhất về quy định tại hai tiêu chuẩn trong việc sử dụng dung dịch Bentonit.</w:t>
            </w:r>
          </w:p>
        </w:tc>
        <w:tc>
          <w:tcPr>
            <w:tcW w:w="3827" w:type="dxa"/>
          </w:tcPr>
          <w:p w14:paraId="612EBD61"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Chủ trì nghiên cứu, rà soát để thống nhất áp dụng hoặc có ý kiến với các Bộ, cơ quan liên quan nghiên cứu, xử lý một số nội dung sau:</w:t>
            </w:r>
          </w:p>
          <w:p w14:paraId="612EBD62"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Về sự chưa thống nhất trong quy định sức chịu tải CBR của 30cm lớp trên  trên cùng của nền đường tại Tiêu chuẩn Việt Nam TCVN 4054:2005 Đường ô tô – yêu cầu thiết kế: Rà soát, chỉnh sửa Tiêu chuẩn Việt Nam TCVN 4054:2005 Đường ô tô – yêu cầu thiết kế để thống nhất thống nhất trong quy định sức chịu tải CBR của 30cm lớp trên  trên cùng của nền đường phục vụ công tác thiết kế, quản lý chất lượng công trình.</w:t>
            </w:r>
          </w:p>
          <w:p w14:paraId="612EBD6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-Về sự chưa thống nhất giữa Tiêu chuẩn quốc gia TCVN 12885:2020 Thi công cầu đường bộ và Tiêu chuẩn quốc gia TCVN 9395:2012 </w:t>
            </w:r>
            <w:r w:rsidRPr="00E24264">
              <w:rPr>
                <w:rFonts w:ascii="Times New Roman" w:eastAsia="Times New Roman" w:hAnsi="Times New Roman" w:cs="Times New Roman"/>
                <w:sz w:val="20"/>
                <w:szCs w:val="20"/>
              </w:rPr>
              <w:lastRenderedPageBreak/>
              <w:t>Cọc khoan nhồi – thi công và nghiệm thu ở quy định về dung dịch Bentonit: rà soát, chỉnh sửa đảm bảo thống nhất về các yêu cầu kỹ thuật đối với dung dịch Bentonit và việc sử dụng dung dịch polymer trong công tác thi công, nghiệm thu cọc khoan nhồi.</w:t>
            </w:r>
          </w:p>
        </w:tc>
        <w:tc>
          <w:tcPr>
            <w:tcW w:w="2126" w:type="dxa"/>
          </w:tcPr>
          <w:p w14:paraId="612EBD6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Hoạt động xây dựng và việc quản lý, sử dụng vốn đầu tư Dự án đầu tư xây dựng các tuyến đường trục kết nối các khu chức năng trong Khu kinh tế tỉnh Thái Bình</w:t>
            </w:r>
          </w:p>
        </w:tc>
      </w:tr>
      <w:tr w:rsidR="00A40329" w:rsidRPr="00E24264" w14:paraId="612EBD81" w14:textId="77777777" w:rsidTr="00A40329">
        <w:trPr>
          <w:cantSplit/>
          <w:trHeight w:val="231"/>
        </w:trPr>
        <w:tc>
          <w:tcPr>
            <w:tcW w:w="559" w:type="dxa"/>
          </w:tcPr>
          <w:p w14:paraId="612EBD6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6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6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6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6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Khoản 1.2, Mục 1 tiêu chuẩn TCCS 31:2020/TCĐBVN - Khảo sát đường ô tô quy định “công tác khảo sát hầm đường ô tô được thực hiện theo tiêu chuẩn riêng” tuy nhiên hiện nay chưa có hướng dẫn khảo sát đối với công trình hầm đường bộ trong đô thị .</w:t>
            </w:r>
          </w:p>
          <w:p w14:paraId="612EBD6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Việc thiết kế hầm đường bộ trước đây được áp dụng theo tiêu chuẩn TCVN 4527-1988 Hầm đường sắt và hầm đường ô tô - Tiêu chuẩn </w:t>
            </w:r>
            <w:r w:rsidRPr="00E24264">
              <w:rPr>
                <w:rFonts w:ascii="Times New Roman" w:eastAsia="Times New Roman" w:hAnsi="Times New Roman" w:cs="Times New Roman"/>
                <w:sz w:val="20"/>
                <w:szCs w:val="20"/>
              </w:rPr>
              <w:lastRenderedPageBreak/>
              <w:t>thiết kế tuy nhiên tiêu chuẩn này chỉ áp dụng để thiết kế mới và thiết kế mở rộng hầm qua núi cho đường sắt và đường ô tô. Tại Dự án, TVTK đang vận dụng một số tiêu chuẩn thiết kế cầu đường bộ cùng một số tiêu chuẩn để tính toán, thiết kế . Việc phát triển hệ thống giao thông ngầm là một xu hướng tất yếu trong quá trình đô thị hóa, nhằm giải quyết các vấn đề ùn tắc giao thông, mở rộng không gian đô thị và nâng cao chất lượng sống. Hiện nay chưa có quy định, hướng dẫn cụ thể về việc thiết kế, thi công đối với loại hình hầm thi công theo các công nghệ đào và lấp, hầm dìm, hầm giao thông đô thị,...Vì vậy, việc xây dựng, ban hành Bộ Tiêu chuẩn thiết kế hầm đường bộ là rất cần thiết nhằm đáp ứng yêu cầu phát triển hiện nay.</w:t>
            </w:r>
          </w:p>
          <w:p w14:paraId="612EBD6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Tiêu chuẩn TCCS 38:2022/TCĐBVN chưa có quy định cụ thể và để đồng bộ với tiêu chuẩn TCVN 13567-1: 2022 đối với việc sử dụng lớp dính bám giữa lớp Bê tông nhựa và Bê tông bản mặt cầu. Cụ thể:</w:t>
            </w:r>
          </w:p>
          <w:p w14:paraId="612EBD7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Điều 8.4.4.2 TCVN 13567-1: 2022 Lớp mặt đường bằng hỗn hợp nhựa nóng - Thi công và nghiệm thu quy định: “Trước khi rải lớp BTNC, tưới dính bám trên mặt các lớp vật liệu phía dưới có sử dụng chất liên kết là nhựa đường như bê tông nhựa, hỗn hợp đá gia cố nhựa, thấm nhập nhựa, láng nhựa…” và “Đối với BTNC rải trên bản mặt cầu bê tông xi măng, tiến hành thi công lớp vật liệu phòng nước theo quy định trước khi thi công lớp vật liệu dính bám”.</w:t>
            </w:r>
          </w:p>
          <w:p w14:paraId="612EBD7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Tuy nhiên, tại Điều 5.16.1 TCCS 38:2022/TCĐBVN Áo đường mềm – Các yêu cầu về chỉ dẫn thiết kế quy định: “Kết cấu phủ mặt cầu tính từ bản mặt cầu trở lên bao gồm lớp bảo vệ mặt cầu (nếu là mặt cầu thép), lớp phòng nước và lớp phủ bằng bê tông nhựa chặt thông thường, bê tông nhựa chặt sử dụng nhựa đường cải thiện,…”.</w:t>
            </w:r>
          </w:p>
          <w:p w14:paraId="612EBD7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2.1. Chi phí BIM và chi phí tư vấn thiết kế, chi phí quản lý dự án</w:t>
            </w:r>
          </w:p>
          <w:p w14:paraId="612EBD7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Việc áp dụng BIM trong quá trình thực hiện dự án để nhằm nâng cao chất lượng sản phẩm thiết kế, là công cụ để hỗ trợ các cơ quan quản lý nhà nước trong quá trình thực hiện nhiệm vụ quản lý nhà nước (thẩm định báo cáo nghiên cứu khả thi, thiết kế xây dựng triển khai sau thiết kế cơ sở; cấp phép xây dựng; quản lý xây dựng; kiểm tra công tác nghiệm thu,...). Áp dụng BIM giúp tiết kiệm được thời gian và chi phí cho dự án.</w:t>
            </w:r>
          </w:p>
          <w:p w14:paraId="612EBD7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Tuy vậy, hiện nay chưa có hướng dẫn phân định nội dung thực hiện của tư vấn BIM và tư vấn thiết kế, cũng như công tác quản lý của Chủ đầu tư khi ứng dụng BIM nên các chi phí thiết kế và chi phí quản lý dự án đang được tính theo tỷ lệ định mức quy định của Bộ Xây dựng ban hành.</w:t>
            </w:r>
          </w:p>
          <w:p w14:paraId="612EBD7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2.2. Chứng chỉ, số lượng nhân sự thực hiện BIM</w:t>
            </w:r>
          </w:p>
          <w:p w14:paraId="612EBD7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Hiện nay, dự toán chi phí tư vấn BIM chủ yếu thực hiện lập dự toán theo chi phí chuyên gia, tuy nhiên chưa có quy định phân cấp về các loại chứng chỉ/chứng nhận chương trình đào tạo BIM đã dẫn đến thiếu cơ sở đánh giá năng lực và kinh nghiệm của nhà thầu, nhân sự thực hiện BIM.</w:t>
            </w:r>
          </w:p>
          <w:p w14:paraId="612EBD7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Đồng thời, chưa quy định về số lượng cần thiết, yêu cầu về năng lực, kinh nghiệm của các nhân sự chủ chốt tại các dự án BIM nên khó khăn trong quá trình xác định dự toán chi phí BIM.</w:t>
            </w:r>
          </w:p>
          <w:p w14:paraId="612EBD7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2.3. Xây dựng chỉ tiêu mời thầu đối với gói thầu xây lắp có yêu cầu áp dụng BIM</w:t>
            </w:r>
          </w:p>
          <w:p w14:paraId="612EBD7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Mục 2.2.1.2 Quyết định số 348/QĐ-BXD ngày 02/4/2021 của Bộ Xây dựng về công bố hướng dẫn chung áp dụng BIM quy định “Trong quá trình biên soạn đối với HSMT Gói thầu xây lắp, Chủ đầu tư dự án áp dụng BIM cần chú ý các biểu mẫu Yêu cầu nhân sự chủ chốt; Bảng đề xuất nhân sự chủ chốt theo Mẫu số 04 Thông tư số 04/2017/TT-BKHĐT”, đồng thời tại mục 2.2.2. Tiêu chuẩn đánh giá nội dung về BIM trong HSDT/HSĐX quy định “Chủ đầu tư đưa ra các yêu cầu kinh nghiệm và năng lực thực hiện để nhà thầu phản hồi về khả năng đáp ứng về Yêu cầu về kinh nghiệm , Yêu cầu về năng lực ”. Tuy nhiên tại Bảng 2.1 Quyết định số 348/QĐ-BXD chỉ quy định về số lượng hợp đồng tư vấn có liên quan đến BIM mà chưa có quy định cụ thể về “Yêu cầu về kinh nghiệm và Yêu cầu về năng lực” đối với gói thầu xây lắp.</w:t>
            </w:r>
          </w:p>
        </w:tc>
        <w:tc>
          <w:tcPr>
            <w:tcW w:w="3827" w:type="dxa"/>
          </w:tcPr>
          <w:p w14:paraId="612EBD7A"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Trên cơ sở nhiệm vụ được giao chủ trì nghiên cứu, rà soát một số vướng mắc, khó khăn, bất cập trong việc áp dụng các tiêu chuẩn, hướng dẫn, quy định hiện hành như Báo cáo kiểm toán đã nêu để thống nhất áp dụng hoặc có ý </w:t>
            </w:r>
            <w:r w:rsidRPr="00E24264">
              <w:rPr>
                <w:rFonts w:ascii="Times New Roman" w:eastAsia="Times New Roman" w:hAnsi="Times New Roman" w:cs="Times New Roman"/>
                <w:sz w:val="20"/>
                <w:szCs w:val="20"/>
              </w:rPr>
              <w:lastRenderedPageBreak/>
              <w:t xml:space="preserve">kiến với các Bộ, cơ quan liên quan nghiên cứu, xử lý một số nội dung sau:  </w:t>
            </w:r>
          </w:p>
          <w:p w14:paraId="612EBD7B"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ab/>
              <w:t>- Xem xét, bổ sung hướng dẫn, quy định về tiêu chuẩn khảo sát, tiêu chuẩn thiết kế hầm đường bộ trong đô thị.</w:t>
            </w:r>
          </w:p>
          <w:p w14:paraId="612EBD7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Xem xét hướng dẫn quy định cụ thể đối với Lớp dính bám giữa Bê tông nhựa và Bê tông cốt thép bản mặt cầu tại TCCS 38:2022/TCĐBVN Áo đường mềm – Các yêu cầu về chỉ dẫn thiết kế để đảm bảo tương thích và đồng bộ với Tiêu chuẩn TCVN 13567-1: 2022 Lớp mặt đường bằng hỗn hợp nhựa nóng - Thi công và nghiệm thu theo quy định tại khoản 4 Điều 10 Nghị định số 175/2024/NĐ-CP.</w:t>
            </w:r>
          </w:p>
          <w:p w14:paraId="612EBD7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Xem xét bổ sung hướng dẫn phân định nội dung thực hiện của tư vấn BIM và tư vấn thiết kế, cũng như công tác quản lý của Chủ đầu tư khi ứng dụng BIM; Quy định cụ thể về số lượng cần thiết, yêu cầu về năng lực, kinh nghiệm của các nhân sự chủ chốt tại các dự án áp dụng BIM; Xây dựng chỉ tiêu mời thầu đối với gói thầu xây lắp có yêu cầu áp dụng BIM.</w:t>
            </w:r>
          </w:p>
        </w:tc>
        <w:tc>
          <w:tcPr>
            <w:tcW w:w="2126" w:type="dxa"/>
          </w:tcPr>
          <w:p w14:paraId="612EBD7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Hoạt động xây dựng và việc quản lý, sử dụng vốn đầu tư Dự án xây dựng nút giao thông An Phú, thành phố Thủ Đức</w:t>
            </w:r>
          </w:p>
        </w:tc>
      </w:tr>
      <w:tr w:rsidR="00A40329" w:rsidRPr="00E24264" w14:paraId="612EBD8D" w14:textId="77777777" w:rsidTr="00A40329">
        <w:trPr>
          <w:cantSplit/>
          <w:trHeight w:val="231"/>
        </w:trPr>
        <w:tc>
          <w:tcPr>
            <w:tcW w:w="559" w:type="dxa"/>
          </w:tcPr>
          <w:p w14:paraId="612EBD8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8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8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8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8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Tại mục 7.1.2.7 của TCCS 31: 2020/TCĐBVN Đường ô tô - Tiêu chuẩn khảo sát quy định: “Hướng đo mặt cắt ngang của cọc trên đường thẳng vuông góc với trục tim tuyến, trong đường cong đo theo hướng tâm đường cong. Phạm vi đo vẽ mặt cắt ngang tối thiểu phải đảm bảo giới hạn thiết kế khuôn nền đường (đào hoặc đắp) và các công trình liên quan đến đường cũng như giới hạn GPMB”. </w:t>
            </w:r>
          </w:p>
          <w:p w14:paraId="612EBD8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Tuy nhiên, cũng tại điều này quy định: “Đối với đường cải tạo chỉ tăng cường mặt đường cũ không mở rộng nền đường, phạm vi đo vẽ mặt cắt ngang từ tim tuyến ra mỗi bên từ 15cm đến 30cm (hoặc đo từ tim đường đến chân nền đắp hay đến đỉnh mái dốc nền đường đào); đối với đường nâng cấp cải tạo hoặc xây dựng mới thì phạm vi đo vẽ mặt cắt ngang từ tim tuyến ra mỗi bên từ 30 m đến 50 m”.</w:t>
            </w:r>
          </w:p>
          <w:p w14:paraId="612EBD8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Quy định cụ thể phạm vi đo vẽ mặt cắt ngang như trên là chưa phù hợp, do chỉ cần đo mặt cắt ngang hết phạm vi của các công trình trên tuyến và giới hạn GPMB, không cần cố định phạm vi đo vẽ. Việc cố định phạm vi đo vẽ khi bề rộng mặt cắt ngang của công trình nhỏ hơn phạm vi đo vẽ tối thiểu hoặc đối với công trình cần phải đo lớn </w:t>
            </w:r>
            <w:r w:rsidRPr="00E24264">
              <w:rPr>
                <w:rFonts w:ascii="Times New Roman" w:eastAsia="Times New Roman" w:hAnsi="Times New Roman" w:cs="Times New Roman"/>
                <w:sz w:val="20"/>
                <w:szCs w:val="20"/>
              </w:rPr>
              <w:lastRenderedPageBreak/>
              <w:t>hơn phạm vi đo vẽ tối đa thì dẫn đến không đo hết được các công trình trên tuyến. Do vậy không nên quy định cụ thể phạm vi đo vẽ.</w:t>
            </w:r>
          </w:p>
        </w:tc>
        <w:tc>
          <w:tcPr>
            <w:tcW w:w="3827" w:type="dxa"/>
          </w:tcPr>
          <w:p w14:paraId="612EBD89"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Đề nghị Bộ Xây dựng chỉ đạo Cục Đường bộ Việt Nam và các đơn vị liên quan: Kiểm tra, rà soát lại quy định tại mục 7.1.2.7 của TCCS 31: 2020/TCĐBVN Đường ô tô - Tiêu chuẩn khảo sát về quy định cụ thể phạm vi đo vẽ mặt cắt ngang đảm bảo kỹ thuật, tránh lãng phí</w:t>
            </w:r>
          </w:p>
        </w:tc>
        <w:tc>
          <w:tcPr>
            <w:tcW w:w="2126" w:type="dxa"/>
          </w:tcPr>
          <w:p w14:paraId="612EBD8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xây dựng và việc quản lý, sử dụng vốn đầu tư Dự án đầu tư xây dựng đường cao tốc Bến Lức- Long Thành</w:t>
            </w:r>
          </w:p>
        </w:tc>
      </w:tr>
      <w:tr w:rsidR="00A40329" w:rsidRPr="00E24264" w14:paraId="612EBD9D" w14:textId="77777777" w:rsidTr="00A40329">
        <w:trPr>
          <w:cantSplit/>
          <w:trHeight w:val="231"/>
        </w:trPr>
        <w:tc>
          <w:tcPr>
            <w:tcW w:w="559" w:type="dxa"/>
          </w:tcPr>
          <w:p w14:paraId="612EBD8E"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8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9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9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9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Chiều dày lớp kết cấu bên dưới lớp kết cấu áo đường có độ chặt &gt;= K98 tại dự án là 50cm phù hợp với TCVN 9436: 2012 Nền đường ô tô – Thi công và nghiệm thu . Tuy nhiên, theo quy định tại mục 9.2.3.1 tiêu chuẩn TCVN 5729 : 2012 yêu cầu trong phạm vi 30cm dưới đáy kết cấu áo đường thiết kế độ chặt K98</w:t>
            </w:r>
          </w:p>
          <w:p w14:paraId="612EBD9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Về cơ bản, UBND tỉnh Đồng Tháp và các đơn vị có liên quan triển khai thực hiện cơ chế đặc thù trong khai thác mỏ khoáng sản làm vật liệu xây dựng thông thường theo Nghị quyết số 106/2023/QH15. Tuy nhiên, trong quá trình triển khai thực hiện, đơn vị được giao khai thác mỏ cát chấp hành nghĩa vụ tài chính có liên quan còn chưa kịp thời. Ngoài ra, khi thực hiện Văn bản số 5165/BXD-KTXD ngày 06/9/2024 của Bộ Xây dựng về việc hướng dẫn xác định chi phí có liên quan đến cấp mỏ và khai khác vật liệu xây dựng theo cơ chế đặc thù còn có vướng mắc khi thực hiện như thiếu một số định mức để xác định chi phí như: Khai thác cát bằng xáng cạp (dung tích gầu 3,5m3), Khai thác cát bằng xáng cạp, có rửa (dung tích gầu 3,5m3); Tỷ trọng cát khai thác để vận chuyển; Chuyển cát từ xà lan lớn sang xà lan nhỏ bằng xáng cạp; Chuyển cát từ xà lan lớn sang xà lan nhỏ bằng máy bơm .</w:t>
            </w:r>
          </w:p>
          <w:p w14:paraId="612EBD9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p w14:paraId="612EBD9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tc>
        <w:tc>
          <w:tcPr>
            <w:tcW w:w="3827" w:type="dxa"/>
          </w:tcPr>
          <w:p w14:paraId="612EBD96"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Đối với Bộ Xây dựng</w:t>
            </w:r>
          </w:p>
          <w:p w14:paraId="612EBD97"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5.1. Chỉ đạo các bộ phận có liên quan tham mưu và cho ý kiến để thống nhất về độ chặt đầm nén yêu cầu đối với nền đường, cụ thể: </w:t>
            </w:r>
          </w:p>
          <w:p w14:paraId="612EBD98"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mục 4.3 tiêu chuẩn TCVN 9436:2012 Nền đường ô tô – Thi công và nghiệm thu đối với đường cao tốc khi có lớp áo đường dày dưới 60cm, trong khoảng 50cm dưới đáy kết cấu áo đường yêu cầu độ chặt K98. Tuy nhiên, theo quy định tại mục 9.2.3.1 TCVN 5729:2012 Đường ô tô cao tốc - Yêu cầu thiết kế thì chỉ yêu cầu trong phạm vi 30cm dưới đáy kết cấu áo đường thiết kế độ chặt K98.</w:t>
            </w:r>
          </w:p>
          <w:p w14:paraId="612EBD9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5.2. Kịp thời tháo gỡ khó khăn, vướng mắc của tỉnh Đồng Tháp khi thực hiện Văn bản số 5165/BXD-KTXD ngày 06/9/2024 của Bộ Xây dựng về việc hướng dẫn xác định chi phí có liên quan đến cấp mỏ và khai thác vật liệu xây dựng theo cơ chế đặc thù tại Văn bản số 371/BQLDA-QLĐT ngày 22/4/2025 của Ban QLDA ĐTXD công trình giao thông tỉnh Đồng Tháp gửi Cục Đường bộ Việt Nam về việc vướng mắc một số định mức khai thác, vận chuyển cát thuộc Xây dựng công trình đường bộ cao tốc Cao Lãnh - An Hữu, giai đoạn 1 (Dự án thành phần 1).</w:t>
            </w:r>
          </w:p>
        </w:tc>
        <w:tc>
          <w:tcPr>
            <w:tcW w:w="2126" w:type="dxa"/>
          </w:tcPr>
          <w:p w14:paraId="612EBD9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xây dựng và việc quản lý, sử dụng vốn đầu tư Dự án xây dựng công trình đường bộ cao tốc Cao Lãnh - An Hữu, giai đoạn 1 (Dự án thành phần 1)</w:t>
            </w:r>
          </w:p>
        </w:tc>
      </w:tr>
      <w:tr w:rsidR="00A40329" w:rsidRPr="00E24264" w14:paraId="612EBDAB" w14:textId="77777777" w:rsidTr="00A40329">
        <w:trPr>
          <w:cantSplit/>
          <w:trHeight w:val="231"/>
        </w:trPr>
        <w:tc>
          <w:tcPr>
            <w:tcW w:w="559" w:type="dxa"/>
          </w:tcPr>
          <w:p w14:paraId="612EBD9E"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9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A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A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A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Hiện nay, Bộ Xây dựng chưa ban hành định mức công tác gia công, lắp dựng cốt thép móng, mố, trụ, mũ mố, mũ trụ cầu trên cạn sử dụng mối nối thép bằng Coupler; công tác đóng và nhổ cọc ván thép, thép hình, thép ống sử dụng máy đào gắn búa rung. Khi lập dự toán gói thầu xây lắp cầu dẫn từ đầu tuyến đến trụ T36-T37 hai công tác trên điều chỉnh  mã hiệu định mức ban hành Thông tư số 12/2021/ TT-BXD ngày 31/8/2021 của Bộ Xây dựng về việc ban hành định mức xây dựng.</w:t>
            </w:r>
          </w:p>
          <w:p w14:paraId="612EBDA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Nhằm giúp các chủ đầu tư, nhà thầu và các bên liên quan có cơ sở pháp lý rõ ràng, minh bạch hơn trong việc lập dự toán, quản lý chi phí và thanh quyết toán công trình, đồng thời khuyến khích việc áp dụng các công nghệ và phương pháp thi công tiên tiến, hiệu quả hơn, </w:t>
            </w:r>
            <w:r w:rsidRPr="00E24264">
              <w:rPr>
                <w:rFonts w:ascii="Times New Roman" w:eastAsia="Times New Roman" w:hAnsi="Times New Roman" w:cs="Times New Roman"/>
                <w:sz w:val="20"/>
                <w:szCs w:val="20"/>
              </w:rPr>
              <w:lastRenderedPageBreak/>
              <w:t>góp phần nâng cao năng suất và chất lượng trong ngành xây dựng, cần phải bổ sung các định mức này vào hệ thống định mức hiện hành.</w:t>
            </w:r>
          </w:p>
          <w:p w14:paraId="612EBDA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Phụ lục B – Mục B.1.2 của Tiêu chuẩn thiết kế TCVN 11823-10:2017 “Cầu đường bộ – Phần 10: Móng cọc”, sức kháng mũi cọc đặt trên nền đá mềm yếu (IGM) chỉ được xác định trong trường hợp lấy được mẫu địa chất tại mũi cọc, phục vụ đánh giá đặc điểm khối đá như khoảng cách khe nứt, độ mở vết nứt,… để áp dụng công thức từ B6 đến B8. Tuy nhiên, tại dự án xây dựng cầu Phước An, lớp địa chất tại vị trí mũi cọc là đá mềm IMG, nhưng không lấy được mẫu nên không áp dụng được các công thức B6, B7, B8. Bên cạnh đó, công thức B.5 phụ lục B Tiêu chuẩn TCVN 11823-10:2017 có quy định sức kháng chống chân cọc trong đá mềm IMG (tính toán theo giá trị xuyên tiêu chuẩn SPT), tuy nhiên việc xác định chỉ số SPT theo Tiêu chuẩn TCVN 9351:2022 phạm vi áp dụng chỉ với các loại đất và đới đá phong hóa hoàn toàn. Vì vậy, sẽ không xác định được chỉ số SPT với đá mềm IMG (đá trầm tích hạt nhỏ). Như vậy, tiêu chuẩn TCVN 11823-10:2017 chưa có hướng dẫn tính toán phù hợp khi lớp địa chất mũi cọc là đá mềm IMG mà không lấy được mẫu nên sẽ gặp khó khăn trong công tác thiết kế, thẩm tra, thẩm định.</w:t>
            </w:r>
          </w:p>
        </w:tc>
        <w:tc>
          <w:tcPr>
            <w:tcW w:w="3827" w:type="dxa"/>
          </w:tcPr>
          <w:p w14:paraId="612EBDA5"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3. Đối với Bộ Xây dựng</w:t>
            </w:r>
          </w:p>
          <w:p w14:paraId="612EBDA6"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Xem xét, nghiên cứu để bổ sung các định mức vào hệ thống định mức xây dựng hiện hành: định mức cho công tác gia công, lắp dựng cốt thép có sử dụng mối nối Coupler; định mức cho công tác đóng, nhổ cọc ván thép, thép hình, thép ống bằng máy đào gắn đầu ép thủy lực. </w:t>
            </w:r>
          </w:p>
          <w:p w14:paraId="612EBDA7"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Xem xét, nghiên cứu bổ sung hướng dẫn phương pháp xác định sức kháng mũi cọc đặt trên nền đá mềm yếu (IGM) trong điều kiện không lấy được mẫu vào Tiêu chuẩn thiết kế </w:t>
            </w:r>
            <w:r w:rsidRPr="00E24264">
              <w:rPr>
                <w:rFonts w:ascii="Times New Roman" w:eastAsia="Times New Roman" w:hAnsi="Times New Roman" w:cs="Times New Roman"/>
                <w:sz w:val="20"/>
                <w:szCs w:val="20"/>
              </w:rPr>
              <w:lastRenderedPageBreak/>
              <w:t>TCVN 11823-10:2017 “Cầu đường bộ – Phần 10: Móng cọc” để có cơ sở pháp lý và thuận tiện trong công tác thiết kế các công trình cầu.</w:t>
            </w:r>
          </w:p>
        </w:tc>
        <w:tc>
          <w:tcPr>
            <w:tcW w:w="2126" w:type="dxa"/>
          </w:tcPr>
          <w:p w14:paraId="612EBDA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Hoạt động xây dựng và việc quản lý, sử dụng vốn đầu tư Dự án cầu Phước An, thị xã Phú Mỹ, tỉnh Bà Rịa - Vũng Tàu và huyện Nhơn Trạch, tỉnh Đồng Nai</w:t>
            </w:r>
          </w:p>
        </w:tc>
      </w:tr>
      <w:tr w:rsidR="00A40329" w:rsidRPr="00E24264" w14:paraId="612EBDB5" w14:textId="77777777" w:rsidTr="00A40329">
        <w:trPr>
          <w:cantSplit/>
          <w:trHeight w:val="231"/>
        </w:trPr>
        <w:tc>
          <w:tcPr>
            <w:tcW w:w="559" w:type="dxa"/>
          </w:tcPr>
          <w:p w14:paraId="612EBDA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A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DA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A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hướng dẫn</w:t>
            </w:r>
          </w:p>
        </w:tc>
        <w:tc>
          <w:tcPr>
            <w:tcW w:w="5672" w:type="dxa"/>
          </w:tcPr>
          <w:p w14:paraId="612EBDB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Nghị định số 05/2021/NĐ-CP ngày 25/01/2021 của Chính phủ về quản lý, khai thác cảng hàng không, sân bay thì Nhà ga hành khách T3 - Cảng hàng không quốc tế Tân Sơn Nhất là kết cấu hạ tầng cảng hàng không  và là công trình cung cấp dịch vụ hàng không , cung cấp dịch vụ phi hàng không . Theo quy định tại điểm g khoản 1 Điều 39 Nghị định số 103/2024/NĐ-CP ngày 30/7/2024  của Chính phủ quy định về tiền sử dụng đất, tiền thuê đất trong đó xác định miễn tiền thuê đất cho cả thời hạn thuê đối với “sử dụng đất xây dựng kết cấu hạ tầng cảng hàng không, sân bay…” . Theo đó không xác định miễn tiền thuê đất đối với công trình dịch vụ hàng không, dịch vụ phi hàng không. Hiện tại chưa có cơ sở phân tách, xác định diện tích của Nhà ga hành khách T3 tương ứng theo các loại hình công trình kết cấu hạ tầng cảng hàng không, dịch vụ hàng không, phi hàng không làm cơ sở xác định tiền thuê đất đối với Dự án</w:t>
            </w:r>
          </w:p>
        </w:tc>
        <w:tc>
          <w:tcPr>
            <w:tcW w:w="3827" w:type="dxa"/>
          </w:tcPr>
          <w:p w14:paraId="612EBDB1" w14:textId="77777777" w:rsidR="00A40329" w:rsidRPr="00E24264" w:rsidRDefault="00A40329" w:rsidP="001E0652">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 thực hiện rà soát, ban hành Văn bản hướng dẫn Nghị định số 05/2021/NĐ-CP theo thẩm quyền hoặc báo cáo Chính phủ để giải quyết vướng mắc trong phân tách, xác định diện tích đất của Nhà ga hành khách tương ứng theo các loại hình công trình kết cấu hạ tầng cảng hàng không, công trình dịch vụ hàng không, phi hàng không làm cơ sở xác định tiền thuê đất đối với các dự án nhà ga hành khách, trong đó có dự án Xây dựng nhà ga hành khách T3 - Cảng hàng không quốc tế Tân Sơn Nhất theo quy định</w:t>
            </w:r>
          </w:p>
        </w:tc>
        <w:tc>
          <w:tcPr>
            <w:tcW w:w="2126" w:type="dxa"/>
          </w:tcPr>
          <w:p w14:paraId="612EBDB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xây dựng và việc quản lý, sử dụng vốn đầu tư Dự án Xây dựng nhà ga hành khách T3 - Cảng hàng không quốc tế Tân Sơn Nhất; Dự án Mở rộng nhà ga hành khách T2 - Cảng HKQT Nội Bài và Dự án Mở rộng sân đỗ máy bay và hệ thống tiếp nhiên liệu khu vực nhà ga hành khách T2 - Cảng HKQT Nội Bài</w:t>
            </w:r>
          </w:p>
        </w:tc>
      </w:tr>
      <w:tr w:rsidR="00A40329" w:rsidRPr="00E24264" w14:paraId="422FF6D6" w14:textId="77777777" w:rsidTr="00A40329">
        <w:trPr>
          <w:cantSplit/>
          <w:trHeight w:val="231"/>
        </w:trPr>
        <w:tc>
          <w:tcPr>
            <w:tcW w:w="559" w:type="dxa"/>
          </w:tcPr>
          <w:p w14:paraId="2A33740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2F5DFCC" w14:textId="3903087D" w:rsidR="00A40329" w:rsidRPr="00E24264" w:rsidRDefault="00A40329" w:rsidP="00E27E53">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7D975505" w14:textId="44696AE4" w:rsidR="00A40329" w:rsidRPr="00E24264" w:rsidRDefault="00A40329" w:rsidP="00E27E53">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31A59EB2" w14:textId="1B36919C" w:rsidR="00A40329" w:rsidRPr="00E24264" w:rsidRDefault="00A40329" w:rsidP="00E27E53">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hướng dẫn</w:t>
            </w:r>
          </w:p>
        </w:tc>
        <w:tc>
          <w:tcPr>
            <w:tcW w:w="5672" w:type="dxa"/>
          </w:tcPr>
          <w:p w14:paraId="177CCCEA" w14:textId="77777777" w:rsidR="00A40329" w:rsidRPr="00E24264" w:rsidRDefault="00A40329" w:rsidP="00E27E53">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Về tái sử dụng, thực hiện tuần hoàn nước trong KCN và cộng sinh công nghiệp: Do hiện tại nhà nước chưa xây dựng quy chuẩn, tiêu chuẩn về tái sử dụng, thực hiện tuần hoàn nước thải sau xử lý trong KCN (quy định về chất lượng nước tái sử dụng cho từng mục đích tái sử dụng khác nhau, gồm cả nước dùng cho tưới cây), chưa có hướng dẫn việc xử lý, tái chế, tái sử dụng chất thải, phế liệu trong KCN sinh thái , nên các nội dung quy định tại một số văn bản  chưa </w:t>
            </w:r>
            <w:r w:rsidRPr="00E24264">
              <w:rPr>
                <w:rFonts w:ascii="Times New Roman" w:eastAsia="Times New Roman" w:hAnsi="Times New Roman" w:cs="Times New Roman"/>
                <w:sz w:val="20"/>
                <w:szCs w:val="20"/>
              </w:rPr>
              <w:lastRenderedPageBreak/>
              <w:t>có căn cứ pháp lý để triển khai thực hiện. Đây cũng là “rào cản” đối với các KCN thực hiện chuyển đổi hoặc phát triển theo loại hình KCN sinh thái. Theo các quy định về BVMT, nước thải sau xử lý của các KCN, các cơ sở sản xuất kinh doanh dịch vụ tuân thủ theo quy định về xử lý nước thải được phép xả thải ra các nguồn tiếp nhận tự nhiên. Bộ Nông nghiệp và Môi trường đã có văn bản cá biệt  hướng dẫn một số tỉnh thành về việc sử dụng nước thải sau xử lý phải đáp ứng cột B QCVN 08: 2023/BTNMT được sử dụng để tưới cây, tuy nhiên so sánh quy chuẩn này với quy chuẩn nước thải sinh hoạt, nước thải công nghiệp thì yêu cầu nước thải phải được xử lý đạt tiêu chuẩn rất cao, dẫn đến khó khăn cho việc các cơ sở sản xuất kinh doanh dịch vụ phải cải tiến công nghệ xử lý nước thải đã đầu tư để đáp ứng cột B QCVN 08: 2023/BTNMT.</w:t>
            </w:r>
          </w:p>
          <w:p w14:paraId="29CDEC2D" w14:textId="77777777" w:rsidR="00A40329" w:rsidRPr="00E24264" w:rsidRDefault="00A40329" w:rsidP="00E27E53">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Về cụm liên kết ngành: Được quy định tại khoản 7 Điều 3 Luật hỗ trợ doanh nghiệp nhỏ và vừa năm 2017; khoản 1 Điều 23 Nghị định số 80/2021/NĐ-CP; khoản 25 Điều 2 Nghị định số 35/2022/NĐ-CP, Nghị quyết số 115/NQ-CP ngày 06/8/2020 của Chính phủ về các giải pháp thúc đẩy phát triển công nghiệp hỗ trợ, giao: “Bộ Công Thương sớm chủ trì, phối hợp với Bộ Kế hoạch và Đầu tư xây dựng đề án thí điểm đầu tư các khu công nghiệp tập trung tại một số địa phương phù hợp theo mô hình cụm liên kết ngành”. Tuy nhiên, đến thời điểm hiện tại Bộ Công Thương và Bộ KH&amp;ĐT (nay là Bộ Tài chính) chưa có hướng dẫn thực hiện đối với nội dung này.</w:t>
            </w:r>
          </w:p>
          <w:p w14:paraId="5BEA328B" w14:textId="77777777" w:rsidR="00A40329" w:rsidRPr="00E24264" w:rsidRDefault="00A40329" w:rsidP="00E27E53">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Về tái sử dụng, thực hiện tuần hoàn nước trong KCN và cộng sinh công nghiệp: Do hiện tại nhà nước chưa xây dựng quy chuẩn, tiêu chuẩn về tái sử dụng, thực hiện tuần hoàn nước thải sau xử lý trong KCN (quy định về chất lượng nước tái sử dụng cho từng mục đích tái sử dụng khác nhau, gồm cả nước dùng cho tưới cây), chưa có hướng dẫn việc xử lý, tái chế, tái sử dụng chất thải, phế liệu trong KCN sinh thái , nên các nội dung quy định tại một số văn bản  chưa có căn cứ pháp lý để triển khai thực hiện. Đây cũng là “rào cản” đối với các KCN thực hiện chuyển đổi hoặc phát triển theo loại hình KCN sinh thái. Theo các quy định về BVMT, nước thải sau xử lý của các KCN, các cơ sở sản xuất kinh doanh dịch vụ tuân thủ theo quy định về xử lý nước thải được phép xả thải ra các nguồn tiếp nhận tự nhiên. Bộ Nông nghiệp và Môi trường đã có văn bản cá biệt  hướng dẫn một số tỉnh thành về việc sử dụng nước thải sau xử lý phải đáp ứng cột B QCVN 08: 2023/BTNMT được sử dụng để tưới cây, tuy nhiên so sánh quy chuẩn này với quy chuẩn nước thải sinh hoạt, nước thải công nghiệp thì yêu cầu nước thải phải được xử lý đạt tiêu chuẩn rất cao, dẫn đến khó khăn cho việc các cơ sở sản xuất </w:t>
            </w:r>
            <w:r w:rsidRPr="00E24264">
              <w:rPr>
                <w:rFonts w:ascii="Times New Roman" w:eastAsia="Times New Roman" w:hAnsi="Times New Roman" w:cs="Times New Roman"/>
                <w:sz w:val="20"/>
                <w:szCs w:val="20"/>
              </w:rPr>
              <w:lastRenderedPageBreak/>
              <w:t>kinh doanh dịch vụ phải cải tiến công nghệ xử lý nước thải đã đầu tư để đáp ứng cột B QCVN 08: 2023/BTNMT.</w:t>
            </w:r>
          </w:p>
          <w:p w14:paraId="42A1E12D" w14:textId="77777777" w:rsidR="00A40329" w:rsidRPr="00E24264" w:rsidRDefault="00A40329" w:rsidP="00E27E53">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Đề xuất việc áp dụng quy chuẩn kỹ thuật về quy hoạch xây dựng QCVN 01:2021/BXD vào các Quyết định đồ án quy hoạch phân khu xây dựng khu chức năng tỷ lệ 1/2000 đã được cơ quan có thẩm quyền phê duyệt mà không cần phải qua bước rà soát và điều chỉnh cục bộ quy hoạch để khai thác hiệu quả sử dụng đất của các đồ án, đồng thời góp phần tích cực trong việc kêu gọi đầu tư và tạo điều kiện cho các doanh nghiệp đang hoạt động mở rộng, nâng cao công suất nhà máy và đáp ứng điều kiện phát triển kinh tế xã hội của đất nước trong giai đoạn hiện nay.</w:t>
            </w:r>
          </w:p>
          <w:p w14:paraId="39C5F280" w14:textId="57485DA7" w:rsidR="00A40329" w:rsidRPr="00E24264" w:rsidRDefault="00A40329" w:rsidP="00E27E53">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Kết quả kiểm toán tại 08 địa phương cho thấy mặc dù các văn bản của Đảng , Luật chuyển giao công nghệ số 07/2017/QH14 ngày 19/6/2017, trong đó ưu tiên và đẩy mạnh hoạt động chuyển giao công nghệ (khoản 3 , khoản 5  Điều 3 về các chính sách của Nhà nước đối với hoạt động chuyển giao công nghệ). Tuy nhiên trong hệ thống pháp luật Việt Nam chưa có quy định cụ thể về các cam kết, ràng buộc trong việc chuyển giao công nghệ của các doanh nghiệp nước ngoài khi có hoạt động đầu tư vào thị trường Việt Nam, dẫn đến tình trạng giai đoạn 2022-2024, tại các địa phương hầu hết doanh nghiệp được chuyển giao công nghệ không phải chủ thể người Việt Nam (Bắc Ninh có 01/43 doanh nghiệp, Đồng Nai chỉ có 01/38 doanh nghiệp chuyển giao chuyển giao công nghệ cho chủ thể người Việt Nam; Hà Nội, Bình Thuận không có chuyển giao công nghệ của Doanh nghiệp FDI trong KCN chuyển giao cho các Doanh nghiệp trong nước; Hà Tĩnh có 01 doanh nghiệp liên doanh được chuyển giao công nghệ; Thanh Hóa trong giai đoạn không có dự án nào đăng ký chuyển giao công nghệ); bên cạnh đó Giấy chứng nhận đầu tư của Nhà đầu tư FDI không có cam kết về việc chuyển giao công nghệ. Ngoài ra sự phát triển KHCN chưa tương xứng với tiềm năng, chưa tranh thủ được tiềm lực KHCN của Trung ương trên địa bàn, chưa phát huy được các tổ chức KHCN quốc tế, các tập đoàn lớn trên địa bàn (công tác liên kết, phối hợp trong và ngoài nước còn hạn chế  (Hà Nội).</w:t>
            </w:r>
          </w:p>
        </w:tc>
        <w:tc>
          <w:tcPr>
            <w:tcW w:w="3827" w:type="dxa"/>
          </w:tcPr>
          <w:p w14:paraId="0E3DB580" w14:textId="77777777" w:rsidR="00A40329" w:rsidRPr="00E24264" w:rsidRDefault="00A40329" w:rsidP="00E27E53">
            <w:pPr>
              <w:keepNext/>
              <w:tabs>
                <w:tab w:val="left" w:pos="8900"/>
              </w:tabs>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Tổng hợp báo cáo Thủ tướng Chính phủ xem xét, chỉ đạo các Bộ, ngành có liên quan</w:t>
            </w:r>
          </w:p>
          <w:p w14:paraId="70689D34" w14:textId="77777777" w:rsidR="00A40329" w:rsidRPr="00E24264" w:rsidRDefault="00A40329" w:rsidP="00E27E53">
            <w:pPr>
              <w:keepNext/>
              <w:tabs>
                <w:tab w:val="left" w:pos="8900"/>
              </w:tabs>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Đối với Bộ Nông nghiệp và Môi trường: Rà soát nghiên cứu, ban hành theo thẩm quyền quy định về quy chuẩn, tiêu chuẩn về tái sử dụng, thực hiện tuần hoàn nước thải sau xử lý trong KCN (quy định về chất lượng nước tái </w:t>
            </w:r>
            <w:r w:rsidRPr="00E24264">
              <w:rPr>
                <w:rFonts w:ascii="Times New Roman" w:eastAsia="Times New Roman" w:hAnsi="Times New Roman" w:cs="Times New Roman"/>
                <w:sz w:val="20"/>
                <w:szCs w:val="20"/>
              </w:rPr>
              <w:lastRenderedPageBreak/>
              <w:t>sử dụng cho từng mục đích tái sử dụng khác nhau) và hướng dẫn việc xử lý, tái chế, tái sử dụng chất thải, phế liệu trong KCN sinh thái theo quy định tại Điều 58 Nghị định số 35/2022/NĐ-CP ngày 28/5/2022 của Chính phủ.</w:t>
            </w:r>
          </w:p>
          <w:p w14:paraId="7863CC72" w14:textId="77777777" w:rsidR="00A40329" w:rsidRPr="00E24264" w:rsidRDefault="00A40329" w:rsidP="00E27E53">
            <w:pPr>
              <w:keepNext/>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Đối với Bộ Công Thương: (i) Khẩn trương xây dựng đề án thí điểm đầu tư các khu công nghiệp tập trung tại một số địa phương phù hợp theo mô hình cụm liên kết ngành theo Nghị quyết số 115/NQ-CP ngày 06/8/2020 của Chính phủ về các giải pháp thúc đẩy phát triển công nghiệp hỗ trợ và phối hợp với Bộ Tài chính hướng dẫn cụ thể về mô hình cụm liên kết ngành trong KCN theo quy định tại khoản 25 Điều 2 và khoản 3 Điều 9 Nghị định số 35/2022/NĐ-CP ngày 28/5/2022 của Chính phủ làm cơ sở triển khai thực hiện; (ii) Nghiên cứu, xem xét bổ sung quy định về thời gian tối đa các doanh nghiệp sau khi được cấp Giấy xác nhận ưu đãi phải được hậu kiểm tại “Điều 9. Hậu kiểm và thu hồi Giấy xác nhận ưu đãi” Thông tư số 55/2015/TT-BCT ngày 30/12/2015 của Bộ Công thương.</w:t>
            </w:r>
          </w:p>
          <w:p w14:paraId="27A73BA9" w14:textId="77777777" w:rsidR="00A40329" w:rsidRPr="00E24264" w:rsidRDefault="00A40329" w:rsidP="00E27E53">
            <w:pPr>
              <w:keepNext/>
              <w:widowControl w:val="0"/>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Đối với Bộ Xây dựng và UBND các cấp: Nghiên cứu, xem xét thống nhất việc áp dụng quy chuẩn kỹ thuật về quy hoạch xây dựng QCVN 01:2021/BXD vào các Quyết định đồ án quy hoạch phân khu xây dựng khu chức năng tỷ lệ 1/2000 đã được cơ quan có thẩm quyền phê duyệt mà không cần phải qua bước rà soát và điều chỉnh cục bộ quy hoạch để khai thác hiệu quả sử dụng đất của các đồ án, đồng thời góp phần tích cực trong việc kêu gọi đầu tư và tạo điều kiện cho các doanh nghiệp đang hoạt động mở rộng, nâng cao công suất nhà máy và đáp ứng điều kiện phát triển kinh tế xã hội của đất nước trong giai đoạn hiện nay.</w:t>
            </w:r>
          </w:p>
          <w:p w14:paraId="55A87AD1" w14:textId="77777777" w:rsidR="00A40329" w:rsidRPr="00E24264" w:rsidRDefault="00A40329" w:rsidP="00E27E53">
            <w:pPr>
              <w:keepNext/>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Đối với Bộ Khoa học và Công nghệ: Thực hiện chủ trì, phối hợp với các Bộ, cơ quan </w:t>
            </w:r>
            <w:r w:rsidRPr="00E24264">
              <w:rPr>
                <w:rFonts w:ascii="Times New Roman" w:eastAsia="Times New Roman" w:hAnsi="Times New Roman" w:cs="Times New Roman"/>
                <w:sz w:val="20"/>
                <w:szCs w:val="20"/>
              </w:rPr>
              <w:lastRenderedPageBreak/>
              <w:t>trung ương có liên quan nghiên cứu và báo cáo Thủ tướng chính phủ xem xét ban hành các quy định về việc cam kết, ràng buộc đi kèm với khuyến khích, ưu đãi về chuyển giao công nghệ của các doanh nghiệp nước ngoài cho các tổ chức, doanh nghiệp trong nước khi có hoạt động đầu tư vào thị trường Việt Nam đảm bảo phù hợp Nghị quyết số 50-NQ/TW ngày 20/8/2019 của Ban Chấp hành Trung ương về định hướng hoàn thiện thể chế, chính sách, nâng cao chất lượng, hiệu quả hợp tác đầu tư nước ngoài đến năm 2030, Luật Chuyển giao công nghệ số 07/2017/QH14 ngày 19/6/2017 và đảm bảo hài hòa lợi ích giữa các bên.</w:t>
            </w:r>
          </w:p>
          <w:p w14:paraId="79F4D830" w14:textId="77777777" w:rsidR="00A40329" w:rsidRPr="00E24264" w:rsidRDefault="00A40329" w:rsidP="00E27E53">
            <w:pPr>
              <w:spacing w:after="0" w:line="240" w:lineRule="auto"/>
              <w:ind w:hanging="35"/>
              <w:jc w:val="both"/>
              <w:rPr>
                <w:rFonts w:ascii="Times New Roman" w:eastAsia="Times New Roman" w:hAnsi="Times New Roman" w:cs="Times New Roman"/>
                <w:sz w:val="20"/>
                <w:szCs w:val="20"/>
              </w:rPr>
            </w:pPr>
          </w:p>
        </w:tc>
        <w:tc>
          <w:tcPr>
            <w:tcW w:w="2126" w:type="dxa"/>
          </w:tcPr>
          <w:p w14:paraId="3B7C7526" w14:textId="77777777" w:rsidR="00A40329" w:rsidRPr="00E24264" w:rsidRDefault="00A40329" w:rsidP="00E27E53">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Việc thực hiện các chính sách ưu đãi đầu tư tại khu kinh tế, khu công nghiệp giai đoạn 2022-2024 Bộ Tài chính (Bộ Kế hoạch và Đầu tư) và các địa </w:t>
            </w:r>
            <w:r w:rsidRPr="00E24264">
              <w:rPr>
                <w:rFonts w:ascii="Times New Roman" w:eastAsia="Times New Roman" w:hAnsi="Times New Roman" w:cs="Times New Roman"/>
                <w:sz w:val="20"/>
                <w:szCs w:val="20"/>
              </w:rPr>
              <w:lastRenderedPageBreak/>
              <w:t>phương: Quảng Ninh, Bình Thuận, Hà Tĩnh, Thanh Hóa, Đồng Nai, Bắc Ninh, Hà Nội, Quảng Bình</w:t>
            </w:r>
          </w:p>
          <w:p w14:paraId="4116926A" w14:textId="77777777" w:rsidR="00A40329" w:rsidRPr="00E24264" w:rsidRDefault="00A40329" w:rsidP="00E27E53">
            <w:pPr>
              <w:spacing w:after="0" w:line="240" w:lineRule="auto"/>
              <w:jc w:val="both"/>
              <w:rPr>
                <w:rFonts w:ascii="Times New Roman" w:eastAsia="Times New Roman" w:hAnsi="Times New Roman" w:cs="Times New Roman"/>
                <w:sz w:val="20"/>
                <w:szCs w:val="20"/>
              </w:rPr>
            </w:pPr>
          </w:p>
        </w:tc>
      </w:tr>
      <w:tr w:rsidR="00A40329" w:rsidRPr="00E24264" w14:paraId="612EBDC8" w14:textId="77777777" w:rsidTr="00A40329">
        <w:trPr>
          <w:cantSplit/>
          <w:trHeight w:val="231"/>
        </w:trPr>
        <w:tc>
          <w:tcPr>
            <w:tcW w:w="559" w:type="dxa"/>
          </w:tcPr>
          <w:p w14:paraId="612EBDB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B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DB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B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hướng dẫn</w:t>
            </w:r>
          </w:p>
        </w:tc>
        <w:tc>
          <w:tcPr>
            <w:tcW w:w="5672" w:type="dxa"/>
          </w:tcPr>
          <w:p w14:paraId="612EBDB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Về tái sử dụng, thực hiện tuần hoàn nước trong KCN và cộng sinh công nghiệp: Do hiện tại nhà nước chưa xây dựng quy chuẩn, tiêu chuẩn về tái sử dụng, thực hiện tuần hoàn nước thải sau xử lý trong KCN (quy định về chất lượng nước tái sử dụng cho từng mục đích tái sử dụng khác nhau, gồm cả nước dùng cho tưới cây), chưa có hướng dẫn việc xử lý, tái chế, tái sử dụng chất thải, phế liệu trong KCN sinh thái , nên các nội dung quy định tại một số văn bản  chưa </w:t>
            </w:r>
            <w:r w:rsidRPr="00E24264">
              <w:rPr>
                <w:rFonts w:ascii="Times New Roman" w:eastAsia="Times New Roman" w:hAnsi="Times New Roman" w:cs="Times New Roman"/>
                <w:sz w:val="20"/>
                <w:szCs w:val="20"/>
              </w:rPr>
              <w:lastRenderedPageBreak/>
              <w:t>có căn cứ pháp lý để triển khai thực hiện. Đây cũng là “rào cản” đối với các KCN thực hiện chuyển đổi hoặc phát triển theo loại hình KCN sinh thái. Theo các quy định về BVMT, nước thải sau xử lý của các KCN, các cơ sở sản xuất kinh doanh dịch vụ tuân thủ theo quy định về xử lý nước thải được phép xả thải ra các nguồn tiếp nhận tự nhiên. Bộ Nông nghiệp và Môi trường đã có văn bản cá biệt  hướng dẫn một số tỉnh thành về việc sử dụng nước thải sau xử lý phải đáp ứng cột B QCVN 08: 2023/BTNMT được sử dụng để tưới cây, tuy nhiên so sánh quy chuẩn này với quy chuẩn nước thải sinh hoạt, nước thải công nghiệp thì yêu cầu nước thải phải được xử lý đạt tiêu chuẩn rất cao, dẫn đến khó khăn cho việc các cơ sở sản xuất kinh doanh dịch vụ phải cải tiến công nghệ xử lý nước thải đã đầu tư để đáp ứng cột B QCVN 08: 2023/BTNMT.</w:t>
            </w:r>
          </w:p>
          <w:p w14:paraId="612EBDB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Về cụm liên kết ngành: Được quy định tại khoản 7 Điều 3 Luật hỗ trợ doanh nghiệp nhỏ và vừa năm 2017; khoản 1 Điều 23 Nghị định số 80/2021/NĐ-CP; khoản 25 Điều 2 Nghị định số 35/2022/NĐ-CP, Nghị quyết số 115/NQ-CP ngày 06/8/2020 của Chính phủ về các giải pháp thúc đẩy phát triển công nghiệp hỗ trợ, giao: “Bộ Công Thương sớm chủ trì, phối hợp với Bộ Kế hoạch và Đầu tư xây dựng đề án thí điểm đầu tư các khu công nghiệp tập trung tại một số địa phương phù hợp theo mô hình cụm liên kết ngành”. Tuy nhiên, đến thời điểm hiện tại Bộ Công Thương và Bộ KH&amp;ĐT (nay là Bộ Tài chính) chưa có hướng dẫn thực hiện đối với nội dung này.</w:t>
            </w:r>
          </w:p>
          <w:p w14:paraId="612EBDB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Về tái sử dụng, thực hiện tuần hoàn nước trong KCN và cộng sinh công nghiệp: Do hiện tại nhà nước chưa xây dựng quy chuẩn, tiêu chuẩn về tái sử dụng, thực hiện tuần hoàn nước thải sau xử lý trong KCN (quy định về chất lượng nước tái sử dụng cho từng mục đích tái sử dụng khác nhau, gồm cả nước dùng cho tưới cây), chưa có hướng dẫn việc xử lý, tái chế, tái sử dụng chất thải, phế liệu trong KCN sinh thái , nên các nội dung quy định tại một số văn bản  chưa có căn cứ pháp lý để triển khai thực hiện. Đây cũng là “rào cản” đối với các KCN thực hiện chuyển đổi hoặc phát triển theo loại hình KCN sinh thái. Theo các quy định về BVMT, nước thải sau xử lý của các KCN, các cơ sở sản xuất kinh doanh dịch vụ tuân thủ theo quy định về xử lý nước thải được phép xả thải ra các nguồn tiếp nhận tự nhiên. Bộ Nông nghiệp và Môi trường đã có văn bản cá biệt  hướng dẫn một số tỉnh thành về việc sử dụng nước thải sau xử lý phải đáp ứng cột B QCVN 08: 2023/BTNMT được sử dụng để tưới cây, tuy nhiên so sánh quy chuẩn này với quy chuẩn nước thải sinh hoạt, nước thải công nghiệp thì yêu cầu nước thải phải được xử lý đạt tiêu chuẩn rất cao, dẫn đến khó khăn cho việc các cơ sở sản xuất </w:t>
            </w:r>
            <w:r w:rsidRPr="00E24264">
              <w:rPr>
                <w:rFonts w:ascii="Times New Roman" w:eastAsia="Times New Roman" w:hAnsi="Times New Roman" w:cs="Times New Roman"/>
                <w:sz w:val="20"/>
                <w:szCs w:val="20"/>
              </w:rPr>
              <w:lastRenderedPageBreak/>
              <w:t>kinh doanh dịch vụ phải cải tiến công nghệ xử lý nước thải đã đầu tư để đáp ứng cột B QCVN 08: 2023/BTNMT.</w:t>
            </w:r>
          </w:p>
          <w:p w14:paraId="612EBDB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Đề xuất việc áp dụng quy chuẩn kỹ thuật về quy hoạch xây dựng QCVN 01:2021/BXD vào các Quyết định đồ án quy hoạch phân khu xây dựng khu chức năng tỷ lệ 1/2000 đã được cơ quan có thẩm quyền phê duyệt mà không cần phải qua bước rà soát và điều chỉnh cục bộ quy hoạch để khai thác hiệu quả sử dụng đất của các đồ án, đồng thời góp phần tích cực trong việc kêu gọi đầu tư và tạo điều kiện cho các doanh nghiệp đang hoạt động mở rộng, nâng cao công suất nhà máy và đáp ứng điều kiện phát triển kinh tế xã hội của đất nước trong giai đoạn hiện nay.</w:t>
            </w:r>
          </w:p>
          <w:p w14:paraId="612EBDB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Kết quả kiểm toán tại 08 địa phương cho thấy mặc dù các văn bản của Đảng , Luật chuyển giao công nghệ số 07/2017/QH14 ngày 19/6/2017, trong đó ưu tiên và đẩy mạnh hoạt động chuyển giao công nghệ (khoản 3 , khoản 5  Điều 3 về các chính sách của Nhà nước đối với hoạt động chuyển giao công nghệ). Tuy nhiên trong hệ thống pháp luật Việt Nam chưa có quy định cụ thể về các cam kết, ràng buộc trong việc chuyển giao công nghệ của các doanh nghiệp nước ngoài khi có hoạt động đầu tư vào thị trường Việt Nam, dẫn đến tình trạng giai đoạn 2022-2024, tại các địa phương hầu hết doanh nghiệp được chuyển giao công nghệ không phải chủ thể người Việt Nam (Bắc Ninh có 01/43 doanh nghiệp, Đồng Nai chỉ có 01/38 doanh nghiệp chuyển giao chuyển giao công nghệ cho chủ thể người Việt Nam; Hà Nội, Bình Thuận không có chuyển giao công nghệ của Doanh nghiệp FDI trong KCN chuyển giao cho các Doanh nghiệp trong nước; Hà Tĩnh có 01 doanh nghiệp liên doanh được chuyển giao công nghệ; Thanh Hóa trong giai đoạn không có dự án nào đăng ký chuyển giao công nghệ); bên cạnh đó Giấy chứng nhận đầu tư của Nhà đầu tư FDI không có cam kết về việc chuyển giao công nghệ. Ngoài ra sự phát triển KHCN chưa tương xứng với tiềm năng, chưa tranh thủ được tiềm lực KHCN của Trung ương trên địa bàn, chưa phát huy được các tổ chức KHCN quốc tế, các tập đoàn lớn trên địa bàn (công tác liên kết, phối hợp trong và ngoài nước còn hạn chế  (Hà Nội).</w:t>
            </w:r>
          </w:p>
        </w:tc>
        <w:tc>
          <w:tcPr>
            <w:tcW w:w="3827" w:type="dxa"/>
          </w:tcPr>
          <w:p w14:paraId="612EBDBF" w14:textId="77777777" w:rsidR="00A40329" w:rsidRPr="00E24264" w:rsidRDefault="00A40329" w:rsidP="001E0652">
            <w:pPr>
              <w:keepNext/>
              <w:tabs>
                <w:tab w:val="left" w:pos="8900"/>
              </w:tabs>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 Đối với Bộ Nông nghiệp và Môi trường: Rà soát nghiên cứu, ban hành theo thẩm quyền quy định về quy chuẩn, tiêu chuẩn về tái sử dụng, thực hiện tuần hoàn nước thải sau xử lý trong KCN (quy định về chất lượng nước tái sử dụng cho từng mục đích tái sử dụng khác nhau) và hướng dẫn việc xử lý, tái chế, tái sử </w:t>
            </w:r>
            <w:r w:rsidRPr="00E24264">
              <w:rPr>
                <w:rFonts w:ascii="Times New Roman" w:eastAsia="Times New Roman" w:hAnsi="Times New Roman" w:cs="Times New Roman"/>
                <w:sz w:val="20"/>
                <w:szCs w:val="20"/>
              </w:rPr>
              <w:lastRenderedPageBreak/>
              <w:t>dụng chất thải, phế liệu trong KCN sinh thái theo quy định tại Điều 58 Nghị định số 35/2022/NĐ-CP ngày 28/5/2022 của Chính phủ.</w:t>
            </w:r>
          </w:p>
          <w:p w14:paraId="612EBDC0" w14:textId="77777777" w:rsidR="00A40329" w:rsidRPr="00E24264" w:rsidRDefault="00A40329" w:rsidP="001E0652">
            <w:pPr>
              <w:keepNext/>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Đối với Bộ Công Thương: (i) Khẩn trương xây dựng đề án thí điểm đầu tư các khu công nghiệp tập trung tại một số địa phương phù hợp theo mô hình cụm liên kết ngành theo Nghị quyết số 115/NQ-CP ngày 06/8/2020 của Chính phủ về các giải pháp thúc đẩy phát triển công nghiệp hỗ trợ và phối hợp với Bộ Tài chính hướng dẫn cụ thể về mô hình cụm liên kết ngành trong KCN theo quy định tại khoản 25 Điều 2 và khoản 3 Điều 9 Nghị định số 35/2022/NĐ-CP ngày 28/5/2022 của Chính phủ làm cơ sở triển khai thực hiện; (ii) Nghiên cứu, xem xét bổ sung quy định về thời gian tối đa các doanh nghiệp sau khi được cấp Giấy xác nhận ưu đãi phải được hậu kiểm tại “Điều 9. Hậu kiểm và thu hồi Giấy xác nhận ưu đãi” Thông tư số 55/2015/TT-BCT ngày 30/12/2015 của Bộ Công thương.</w:t>
            </w:r>
          </w:p>
          <w:p w14:paraId="612EBDC1" w14:textId="77777777" w:rsidR="00A40329" w:rsidRPr="00E24264" w:rsidRDefault="00A40329" w:rsidP="001E0652">
            <w:pPr>
              <w:keepNext/>
              <w:widowControl w:val="0"/>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Nghiên cứu, xem xét thống nhất việc áp dụng quy chuẩn kỹ thuật về quy hoạch xây dựng QCVN 01:2021/BXD vào các Quyết định đồ án quy hoạch phân khu xây dựng khu chức năng tỷ lệ 1/2000 đã được cơ quan có thẩm quyền phê duyệt mà không cần phải qua bước rà soát và điều chỉnh cục bộ quy hoạch để khai thác hiệu quả sử dụng đất của các đồ án, đồng thời góp phần tích cực trong việc kêu gọi đầu tư và tạo điều kiện cho các doanh nghiệp đang hoạt động mở rộng, nâng cao công suất nhà máy và đáp ứng điều kiện phát triển kinh tế xã hội của đất nước trong giai đoạn hiện nay.</w:t>
            </w:r>
          </w:p>
          <w:p w14:paraId="612EBDC2" w14:textId="77777777" w:rsidR="00A40329" w:rsidRPr="00E24264" w:rsidRDefault="00A40329" w:rsidP="001E0652">
            <w:pPr>
              <w:keepNext/>
              <w:pBdr>
                <w:top w:val="nil"/>
                <w:left w:val="nil"/>
                <w:bottom w:val="nil"/>
                <w:right w:val="nil"/>
                <w:between w:val="nil"/>
              </w:pBdr>
              <w:spacing w:after="0" w:line="240" w:lineRule="auto"/>
              <w:ind w:firstLine="28"/>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Đối với Bộ Khoa học và Công nghệ: Thực hiện chủ trì, phối hợp với các Bộ, cơ quan trung ương có liên quan nghiên cứu và báo cáo Thủ tướng chính phủ xem xét ban hành các quy định về việc cam kết, ràng buộc đi </w:t>
            </w:r>
            <w:r w:rsidRPr="00E24264">
              <w:rPr>
                <w:rFonts w:ascii="Times New Roman" w:eastAsia="Times New Roman" w:hAnsi="Times New Roman" w:cs="Times New Roman"/>
                <w:sz w:val="20"/>
                <w:szCs w:val="20"/>
              </w:rPr>
              <w:lastRenderedPageBreak/>
              <w:t>kèm với khuyến khích, ưu đãi về chuyển giao công nghệ của các doanh nghiệp nước ngoài cho các tổ chức, doanh nghiệp trong nước khi có hoạt động đầu tư vào thị trường Việt Nam đảm bảo phù hợp Nghị quyết số 50-NQ/TW ngày 20/8/2019 của Ban Chấp hành Trung ương về định hướng hoàn thiện thể chế, chính sách, nâng cao chất lượng, hiệu quả hợp tác đầu tư nước ngoài đến năm 2030, Luật Chuyển giao công nghệ số 07/2017/QH14 ngày 19/6/2017 và đảm bảo hài hòa lợi ích giữa các bên.</w:t>
            </w:r>
          </w:p>
          <w:p w14:paraId="612EBDC3" w14:textId="77777777" w:rsidR="00A40329" w:rsidRPr="00E24264" w:rsidRDefault="00A40329" w:rsidP="001E0652">
            <w:pPr>
              <w:spacing w:after="0" w:line="240" w:lineRule="auto"/>
              <w:ind w:firstLine="28"/>
              <w:jc w:val="both"/>
              <w:rPr>
                <w:rFonts w:ascii="Times New Roman" w:eastAsia="Times New Roman" w:hAnsi="Times New Roman" w:cs="Times New Roman"/>
                <w:sz w:val="20"/>
                <w:szCs w:val="20"/>
              </w:rPr>
            </w:pPr>
          </w:p>
        </w:tc>
        <w:tc>
          <w:tcPr>
            <w:tcW w:w="2126" w:type="dxa"/>
          </w:tcPr>
          <w:p w14:paraId="612EBDC4"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Việc thực hiện các chính sách ưu đãi đầu tư tại khu kinh tế, khu công nghiệp giai đoạn 2022-2024 Bộ Tài chính (Bộ Kế hoạch và Đầu tư) và các địa </w:t>
            </w:r>
            <w:r w:rsidRPr="00E24264">
              <w:rPr>
                <w:rFonts w:ascii="Times New Roman" w:eastAsia="Times New Roman" w:hAnsi="Times New Roman" w:cs="Times New Roman"/>
                <w:sz w:val="20"/>
                <w:szCs w:val="20"/>
              </w:rPr>
              <w:lastRenderedPageBreak/>
              <w:t>phương: Quảng Ninh, Bình Thuận, Hà Tĩnh, Thanh Hóa, Đồng Nai, Bắc Ninh, Hà Nội, Quảng Bình</w:t>
            </w:r>
          </w:p>
          <w:p w14:paraId="612EBDC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tc>
      </w:tr>
      <w:tr w:rsidR="00A40329" w:rsidRPr="00E24264" w14:paraId="0BE0B339" w14:textId="77777777" w:rsidTr="00A40329">
        <w:trPr>
          <w:cantSplit/>
          <w:trHeight w:val="231"/>
        </w:trPr>
        <w:tc>
          <w:tcPr>
            <w:tcW w:w="559" w:type="dxa"/>
          </w:tcPr>
          <w:p w14:paraId="1C6D8CEE"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1C45390" w14:textId="3F194E96"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Bộ Xây dựng</w:t>
            </w:r>
          </w:p>
        </w:tc>
        <w:tc>
          <w:tcPr>
            <w:tcW w:w="851" w:type="dxa"/>
          </w:tcPr>
          <w:p w14:paraId="53C691A1" w14:textId="48E8B2F3"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Văn bản khác</w:t>
            </w:r>
          </w:p>
        </w:tc>
        <w:tc>
          <w:tcPr>
            <w:tcW w:w="851" w:type="dxa"/>
          </w:tcPr>
          <w:p w14:paraId="03CDB0EC" w14:textId="2225E1AE"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Rà soát, sửa đổi, hướng dẫn</w:t>
            </w:r>
          </w:p>
        </w:tc>
        <w:tc>
          <w:tcPr>
            <w:tcW w:w="5672" w:type="dxa"/>
          </w:tcPr>
          <w:p w14:paraId="224F9C0A"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2.2. Quy định về chiều dày tầng đệm thoát nước giữa TCCS 41:2022/TCĐBVN và TCVN 9355:2013 còn chưa đồng bộ, thống nhất:</w:t>
            </w:r>
          </w:p>
          <w:p w14:paraId="6321FE94"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7.5.3 của TCCS 41:2022/TCĐBVN thì chiều dày tầng đệm cát không được nhỏ hơn 50 cm.</w:t>
            </w:r>
          </w:p>
          <w:p w14:paraId="2A305087"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 Theo quy định tại mục 4.1.5.4 của TCVN 9355:2013 thì chiều dày tầng đệm cát không nhỏ hơn độ lún tổng cộng S và phải lớn hơn </w:t>
            </w:r>
            <w:r w:rsidRPr="00E24264">
              <w:rPr>
                <w:rFonts w:ascii="Times New Roman" w:eastAsia="Batang" w:hAnsi="Times New Roman" w:cs="Times New Roman"/>
                <w:noProof/>
                <w:sz w:val="20"/>
                <w:szCs w:val="20"/>
                <w:lang w:val="vi-VN" w:eastAsia="ko-KR"/>
              </w:rPr>
              <w:lastRenderedPageBreak/>
              <w:t xml:space="preserve">0,5m. </w:t>
            </w:r>
          </w:p>
          <w:p w14:paraId="1A8E1FF0"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2.3. Quy định về khoảng cách cắm bấc thấm giữa TCCS 41:2022/TCĐBVN và TCVN 9355:2013 còn chưa đồng bộ, thống nhất: </w:t>
            </w:r>
          </w:p>
          <w:p w14:paraId="596C0C4F"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7.6.5 của TCCS 41:2022/TCĐBVN: Bấc thấm nên bố trí kiểu tam giác hoặc ô vuông với cự ly không nên dưới 1,2 m và không nên quá 2,2 m.</w:t>
            </w:r>
          </w:p>
          <w:p w14:paraId="21210F8A"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4.2.1 của TCVN 9355:2013: Khoảng cách giữa các bấc thấm không nên nhỏ hơn 1,2 m để không làm xáo động đất nền quá lớn.</w:t>
            </w:r>
          </w:p>
          <w:p w14:paraId="0C5DD6A3"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2.4. Quy định về số lượng vị trí thăm dò trên 1 mặt cắt ngang giữa TCCS 31:2020/TCĐBVN và TCCS 41:2022/TCĐBVN còn chưa đồng bộ, thống nhất:</w:t>
            </w:r>
          </w:p>
          <w:p w14:paraId="06FFD2DB"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8.3.2.2 của TCCS 31:2020/TCĐBVN: Cứ cách 100 m đến 200 m, tiến hành một mặt cắt ngang ĐCCT trên đó có 3 vị trí thăm dò.</w:t>
            </w:r>
          </w:p>
          <w:p w14:paraId="1F48D269"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5.3.2.2 của TCCS 41:2022/TCĐBVN: tiến hành khoan thăm dò mặt cắt địa chất công trình theo chiều ngang vuông góc tim tuyến, trên đó ít nhất có 3 lỗ khoan.</w:t>
            </w:r>
          </w:p>
          <w:p w14:paraId="47BCB81F"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2.5. Quy định về thí nghiệm cắt cánh hiện trường giữa TCCS 31:2020/TCĐBVN và TCCS 41:2022/TCĐBVN còn chưa đồng bộ, thống nhất:</w:t>
            </w:r>
          </w:p>
          <w:p w14:paraId="2DF05D06"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8.3.2.2 của TCCS 31:2020, trường hợp cần thiết, để phục vụ tính toán xử lý nền đường đắp trên đất yếu nên tiến hành thí nghiệm cắt cánh hiện trường. Thí nghiệm cắt cánh hiện trường chỉ thực hiện tại các lỗ khoan ở tim tuyến, ưu tiên cho các đoạn nền đắp cao, đường đầu cầu.</w:t>
            </w:r>
          </w:p>
          <w:p w14:paraId="050902A3" w14:textId="792D67E6"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Theo quy định tại mục 5.3.2.2 của TCCS 41:2022: trong mọi trường hợp cần tiến hành thí nghiệm cắt cánh hiện trường theo TCVN 10184. Thí nghiệm này có thể được tiến hành độc lập hoặc trong lỗ khoan.</w:t>
            </w:r>
          </w:p>
        </w:tc>
        <w:tc>
          <w:tcPr>
            <w:tcW w:w="3827" w:type="dxa"/>
          </w:tcPr>
          <w:p w14:paraId="5DF7CFA6"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 Trên cơ sở các vướng mắc liên quan đến việc áp dụng các tiêu chuẩn như Báo cáo đã nêu, đề nghị Bộ Xây dựng chủ trì nghiên cứu, rà soát  để thống nhất áp dụng hoặc có ý kiến với các Bộ, cơ quan liên quan nghiên cứu, xử lý một số nội dung còn chưa thống nhất giữa các tiêu chuẩn sau:</w:t>
            </w:r>
          </w:p>
          <w:p w14:paraId="06E5FF21"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(1) Quy định về điểm dừng khoan khảo sát địa chất nền đường đắp trên nền đất yếu giữa TCVN 9906:2014 và TCCS 41:2022/TCĐBVN;</w:t>
            </w:r>
          </w:p>
          <w:p w14:paraId="40795713"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(2) Quy định về chiều dày tầng đệm thoát nước giữa TCCS 41:2022/TCĐBVN và TCVN 9355:2013;</w:t>
            </w:r>
          </w:p>
          <w:p w14:paraId="0A0E55B0"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(3) Quy định về khoảng cách cắm bấc thấm giữa TCCS 41:2022/TCĐBVN và TCVN 9355:2013;</w:t>
            </w:r>
          </w:p>
          <w:p w14:paraId="62F9F5FC"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(4) Quy định về số lượng vị trí thăm dò trên 1 mặt cắt ngang giữa TCCS 31:2020/TCĐBVN và TCCS 41:2022/TCĐBVN;</w:t>
            </w:r>
          </w:p>
          <w:p w14:paraId="2A5EB577"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(5) Quy định về thí nghiệm cắt cánh hiện trường giữa TCCS 31:2020/TCĐBVN và TCCS 41:2022/TCĐBVN.</w:t>
            </w:r>
          </w:p>
          <w:p w14:paraId="0E6465CF"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3CA265EE"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3D2D29FC"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08B0902D"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897C9D6"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2271F7C"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61EFC4EA"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4662425D"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4298BF34"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8EC0A6D"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1258DDF4"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64791E9"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32B5814B"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782DF894"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p>
          <w:p w14:paraId="45B6E3D5" w14:textId="77777777" w:rsidR="00A40329" w:rsidRPr="00E24264" w:rsidRDefault="00A40329" w:rsidP="001E0652">
            <w:pPr>
              <w:keepNext/>
              <w:tabs>
                <w:tab w:val="left" w:leader="dot" w:pos="8900"/>
              </w:tabs>
              <w:spacing w:after="0" w:line="240" w:lineRule="auto"/>
              <w:jc w:val="both"/>
              <w:rPr>
                <w:rFonts w:ascii="Times New Roman" w:eastAsia="Batang" w:hAnsi="Times New Roman" w:cs="Times New Roman"/>
                <w:noProof/>
                <w:sz w:val="20"/>
                <w:szCs w:val="20"/>
                <w:lang w:val="vi-VN" w:eastAsia="ko-KR"/>
              </w:rPr>
            </w:pPr>
          </w:p>
        </w:tc>
        <w:tc>
          <w:tcPr>
            <w:tcW w:w="2126" w:type="dxa"/>
          </w:tcPr>
          <w:p w14:paraId="144F3A33" w14:textId="16A639E8"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 xml:space="preserve">Kiểm toán hoạt động xây dựng và việc quản lý, sử dụng vốn đầu tư Dự án đầu tư xây dựng Đường Hồ Chí Minh đoạn Rạch Sỏi - Bến </w:t>
            </w:r>
            <w:r w:rsidRPr="00E24264">
              <w:rPr>
                <w:rFonts w:ascii="Times New Roman" w:eastAsia="Batang" w:hAnsi="Times New Roman" w:cs="Times New Roman"/>
                <w:noProof/>
                <w:sz w:val="20"/>
                <w:szCs w:val="20"/>
                <w:lang w:val="vi-VN" w:eastAsia="ko-KR"/>
              </w:rPr>
              <w:lastRenderedPageBreak/>
              <w:t>Nhất, Gò Quao - Vĩnh Thuận</w:t>
            </w:r>
          </w:p>
        </w:tc>
      </w:tr>
      <w:tr w:rsidR="00A40329" w:rsidRPr="00E24264" w14:paraId="11466236" w14:textId="77777777" w:rsidTr="00A40329">
        <w:trPr>
          <w:cantSplit/>
          <w:trHeight w:val="231"/>
        </w:trPr>
        <w:tc>
          <w:tcPr>
            <w:tcW w:w="559" w:type="dxa"/>
          </w:tcPr>
          <w:p w14:paraId="673BCBC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C04AF22" w14:textId="430CBC95"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UBND tỉnh An Giang</w:t>
            </w:r>
          </w:p>
        </w:tc>
        <w:tc>
          <w:tcPr>
            <w:tcW w:w="851" w:type="dxa"/>
          </w:tcPr>
          <w:p w14:paraId="5ABFAD80" w14:textId="5AAB7B2A"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Văn bản khác</w:t>
            </w:r>
          </w:p>
        </w:tc>
        <w:tc>
          <w:tcPr>
            <w:tcW w:w="851" w:type="dxa"/>
          </w:tcPr>
          <w:p w14:paraId="066FF4F9" w14:textId="7FA0EEB1"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Rà soát, sửa đổi, hướng dẫn</w:t>
            </w:r>
          </w:p>
        </w:tc>
        <w:tc>
          <w:tcPr>
            <w:tcW w:w="5672" w:type="dxa"/>
          </w:tcPr>
          <w:p w14:paraId="5BF206D8"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1. Việc phân loại đường sông để xác định đơn giá vận chuyển hàng hóa, vật liệu xây dựng trên địa bàn tỉnh Kiên Giang theo Quyết định số 1015/QĐ-UBND ngày 18/4/2023 của UBND tỉnh Kiên Giang</w:t>
            </w:r>
          </w:p>
          <w:p w14:paraId="6EFD60C3" w14:textId="77777777" w:rsidR="00A40329" w:rsidRPr="00E24264" w:rsidRDefault="00A40329" w:rsidP="001E0652">
            <w:pPr>
              <w:widowControl w:val="0"/>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Quyết định số 1015/QĐ-UBND ngày 18/4/2023 của UBND tỉnh Kiên Giang hướng dẫn tính cước vận chuyển vật liệu bằng đường sông trên địa bàn tỉnh, trong đó quy định, Đường sông loại 1: Sông cái lớn không giới hạn tải trọng; Đường sông loại 2: Bao gồm các tuyến sông khi phương tiện có tải trọng từ 30 tấn trở lên lưu thông được; Đường sông loại 3: Bao gồm các tuyến sông khi phương tiện có tải trọng từ 30 tấn trở lên không lưu thông được.</w:t>
            </w:r>
          </w:p>
          <w:p w14:paraId="1015B666" w14:textId="0975FFF2"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Căn cứ vào các quy định về cấp kỹ thuật sông  và tải trọng phương tiện khai thác được quy định tại Bảng 1, Mục 4.1 TCVN 5664:2009  thì các sông cấp đặc biệt sẽ tương tứng với đường sông loại 1; các sông cấp I, cấp II, cấp III và cấp IV sẽ tương ứng với đường sông loại 2; các sông cấp VI sẽ tương ứng với đường sông loại 3; nhưng đối với sông cấp V thì không có đủ cơ sở để xác định cụ thể là đường sông loại 2 hay đường sông loại 3. Mặt khác, Quyết định này quy định: "Đường sông loại 1: Sông cái lớn không giới hạn tải trọng" thì cụm từ "Sông cái lớn" thể hiện không rõ nghĩa, làm cho người đọc khó khăn trong việc hiểu và áp dụng.</w:t>
            </w:r>
          </w:p>
        </w:tc>
        <w:tc>
          <w:tcPr>
            <w:tcW w:w="3827" w:type="dxa"/>
          </w:tcPr>
          <w:p w14:paraId="2C03148A" w14:textId="0EE897FF" w:rsidR="00A40329" w:rsidRPr="00E24264" w:rsidRDefault="00A40329" w:rsidP="001E0652">
            <w:pPr>
              <w:keepNext/>
              <w:tabs>
                <w:tab w:val="left" w:leader="dot" w:pos="8900"/>
              </w:tabs>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Đề nghị UBND tỉnh An Giang chỉ đạo các đơn vị có liên quan rà soát Quyết định số 1015/QĐ-UBND ngày 18/4/2023 của UBND tỉnh Kiên Giang để hướng dẫn cụ thể loại đường sông đối với trường hợp sông cấp V và làm rõ khái niệm “sông cái lớn”.</w:t>
            </w:r>
          </w:p>
        </w:tc>
        <w:tc>
          <w:tcPr>
            <w:tcW w:w="2126" w:type="dxa"/>
          </w:tcPr>
          <w:p w14:paraId="0D37AF6D" w14:textId="0C1BC424"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Kiểm toán hoạt động xây dựng và việc quản lý, sử dụng vốn đầu tư Dự án đầu tư xây dựng Đường Hồ Chí Minh đoạn Rạch Sỏi - Bến Nhất, Gò Quao - Vĩnh Thuận</w:t>
            </w:r>
          </w:p>
        </w:tc>
      </w:tr>
      <w:tr w:rsidR="00A40329" w:rsidRPr="00E24264" w14:paraId="0F13D6BF" w14:textId="77777777" w:rsidTr="00A40329">
        <w:trPr>
          <w:cantSplit/>
          <w:trHeight w:val="231"/>
        </w:trPr>
        <w:tc>
          <w:tcPr>
            <w:tcW w:w="559" w:type="dxa"/>
          </w:tcPr>
          <w:p w14:paraId="001D8E6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8EBAD67" w14:textId="6CBDAA87"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Bộ Xây dựng</w:t>
            </w:r>
          </w:p>
        </w:tc>
        <w:tc>
          <w:tcPr>
            <w:tcW w:w="851" w:type="dxa"/>
          </w:tcPr>
          <w:p w14:paraId="5468088F" w14:textId="4343F694"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Văn bản khác</w:t>
            </w:r>
          </w:p>
        </w:tc>
        <w:tc>
          <w:tcPr>
            <w:tcW w:w="851" w:type="dxa"/>
          </w:tcPr>
          <w:p w14:paraId="361D2A63" w14:textId="21575738" w:rsidR="00A40329" w:rsidRPr="00E24264" w:rsidRDefault="00A40329" w:rsidP="001E0652">
            <w:pPr>
              <w:spacing w:after="0" w:line="240" w:lineRule="auto"/>
              <w:jc w:val="center"/>
              <w:rPr>
                <w:rFonts w:ascii="Times New Roman" w:eastAsia="Batang" w:hAnsi="Times New Roman" w:cs="Times New Roman"/>
                <w:noProof/>
                <w:sz w:val="20"/>
                <w:szCs w:val="20"/>
                <w:lang w:eastAsia="ko-KR"/>
              </w:rPr>
            </w:pPr>
            <w:r w:rsidRPr="00E24264">
              <w:rPr>
                <w:rFonts w:ascii="Times New Roman" w:eastAsia="Batang" w:hAnsi="Times New Roman" w:cs="Times New Roman"/>
                <w:noProof/>
                <w:sz w:val="20"/>
                <w:szCs w:val="20"/>
                <w:lang w:eastAsia="ko-KR"/>
              </w:rPr>
              <w:t>Rà soát, sửa đổi, hướng dẫn</w:t>
            </w:r>
          </w:p>
        </w:tc>
        <w:tc>
          <w:tcPr>
            <w:tcW w:w="5672" w:type="dxa"/>
          </w:tcPr>
          <w:p w14:paraId="2EB9D5D0"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Về độ lún cố kết đạt được khi áp dụng giải pháp thiết kế thoát nước cố kết thẳng đứng</w:t>
            </w:r>
          </w:p>
          <w:p w14:paraId="2A4C5791"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Tiêu chuẩn TCCS41:2022/TCĐBVN không quy định cụ thể độ cố kết trong phạm chịu ảnh hưởng của tải trọng đắp phải đạt được khi xử lý nền đường bằng giải pháp thoát nước cố kết thẳng đứng, chỉ quy định đối với đoạn chuyển tiếp phải đạt tối thiểu 90% tại Phụ lục E  Tiêu chuẩn cơ sở TCCS41:2022/TCĐBVN.</w:t>
            </w:r>
          </w:p>
          <w:p w14:paraId="4DC828B2"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Việc không quy định độ cố kết tối thiểu phải đạt được tại Tiêu chuẩn TCCS41:2022/TCĐBVN chưa đảm bảo thống nhất với qui định tại điểm 4.2.1 Tiêu chuẩn TCVN9355:2013 và điểm 5.6.2 Tiêu chuẩn TCVN9355:2012 (yêu cầu mức cố kết phải đạt được không nhỏ hơn 90%).</w:t>
            </w:r>
          </w:p>
          <w:p w14:paraId="12CE1866"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Kết quả tính toán tại Dự án độ cố kết chung của nền đường trong phạm vi chịu ảnh hưởng của tải trọng đắp khi áp dụng giải pháp thoát nước thẳng đứng tại một số đoạn đường &lt;90%, việc này có thể dẫn đến trong quá trình khai thác nền đường vẫn tiếp tục bị lún .</w:t>
            </w:r>
          </w:p>
          <w:p w14:paraId="078AAB78"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Về thiết kế phạm vi bố trí hệ thống thoát nước cố kết thẳng đứng trên mặt cắt ngang nền đường</w:t>
            </w:r>
          </w:p>
          <w:p w14:paraId="6DE0C6B9"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 xml:space="preserve">Qua rà soát công tác thiết kế của dự án cho thấy giải pháp thiết kế bấc thấm cắt dư 20cm nằm trên đỉnh lớp đệm cát thoát nước chưa phù hợp với hướng dẫn tại điểm 5.3.5.1, 5.3.6.1 Tiêu chuẩn TCVN9355:2013 (theo hướng dẫn chỉ cần cắt dư 20cm bên dưới đỉnh đệm cát 20cm ). </w:t>
            </w:r>
          </w:p>
          <w:p w14:paraId="6334A6E2"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Tiêu chuẩn TCCS41:2020/TCĐVN chỉ đưa ra quy định chung về tính toán xử lý nền đường, chưa có hướng dẫn cụ thể về thiết kế phạm vi bố trí hệ thống thoát nước cố kết thẳng đứng (bấc thấm, giếng cát, cọc cát...) trên mặt cắt ngang nền đường; trong khi hướng dẫn tại điểm 5.6.5 Tiêu chuẩn TCVN9355-2012 quy định phạm vi bố trí bấc thấm đến chân mái dốc của nền đắp (Dự án không áp dụng theo tiêu chuẩn TCVN9355-2012).</w:t>
            </w:r>
          </w:p>
          <w:p w14:paraId="75F319B8" w14:textId="77777777"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Tại Dự án có nhiều vị trí chỉ bố trí bấc thấm trong phạm vi nền đường (không bố trí trong phạm vi mái taluy và dải phân cách giữa), tuy đáp ứng yêu cầu theo hướng dẫn thiết kế tại Tiêu chuẩn TCCS41:2020/TCĐBVN nhưng chưa phù hợp với hướng dẫn tại điểm 5.6.5 Tiêu chuẩn TCVN9355-2012; việc này có thể dẫn đến sai lệch về độ lún cố kết đạt được giữa thực tế thi công và kết quả tính toán theo lý thuyết tại các vị trí trên mặt cắt ngang nền đường không được xử lý bấc thấm.</w:t>
            </w:r>
          </w:p>
          <w:p w14:paraId="17EFD75B" w14:textId="0A2E9E16" w:rsidR="00A40329" w:rsidRPr="00E24264" w:rsidRDefault="00A40329" w:rsidP="001E0652">
            <w:pPr>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Qua kiểm tra, rà soát cho thấy với kết quả thiết kế, tính toán xử lý nền đường của Dự án khi áp dụng theo Tiêu chuẩn TCCS41:2022/TCĐBVN và Quyết định số 1365 chưa xét tới độ lún từ biến, độ cố kết chung của nền đường trong phạm vi chịu ảnh hưởng của tải trọng đắp tại một số đoạn nhỏ hơn 90%, nhiều vị trí không bố trí bấc thấm ở phạm vi mái taluy và dải phân cách giữa dẫn đến nền đường có thể sẽ tiếp tục bị lún trong quá trình khai thác, lún không đều giữa các vị trí trên mặt cắt ngang nền đường. Trong trường hợp đó, phải bù lún mặt đường để đảm bảo độ êm thuận của mặt đường.</w:t>
            </w:r>
          </w:p>
        </w:tc>
        <w:tc>
          <w:tcPr>
            <w:tcW w:w="3827" w:type="dxa"/>
          </w:tcPr>
          <w:p w14:paraId="39735762" w14:textId="77777777" w:rsidR="00A40329" w:rsidRPr="00E24264" w:rsidRDefault="00A40329" w:rsidP="001E0652">
            <w:pPr>
              <w:spacing w:after="0" w:line="240" w:lineRule="auto"/>
              <w:ind w:hanging="35"/>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lastRenderedPageBreak/>
              <w:t>- Kiểm tra, rà soát Tiêu chuẩn TCCS41:2022/TCĐBVN để: xem xét bổ sung quy định độ lún cố kết phải đạt được khi áp dụng giải pháp thoát nước cố kết thẳng đứng; hướng dẫn cụ thể về thiết kế phạm vi bố trí hệ thống thoát nước cố kết thẳng đứng trên mặt cắt ngang nền đường; quy định việc cắt dư đầu bấc thấm (ở trên đỉnh hay bên trong tầng đệm cát thoát nước) để đảm bảo thống nhất, đồng bộ với các tiêu chuẩn kỹ thuật hiện hành khác có liên quan (như các tiêu chuẩn: TCCS38: 2022/TCĐBVN, TCCS39:2022/TCĐBVN, TCVNN9355-2012, TCVN9355-2013, JTG/T-D31-02:2013...).</w:t>
            </w:r>
          </w:p>
          <w:p w14:paraId="67258B28" w14:textId="18EC1695" w:rsidR="00A40329" w:rsidRPr="00E24264" w:rsidRDefault="00A40329" w:rsidP="001E0652">
            <w:pPr>
              <w:keepNext/>
              <w:tabs>
                <w:tab w:val="left" w:leader="dot" w:pos="8900"/>
              </w:tabs>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(2) Xem xét ban hành quy định về tiêu chí đánh giá chất lượng đại lý làm cơ sở xem xét tái ký hợp đồng đại lý hàng năm để đảm bảo lựa chọn được các đại lý tốt nhất trên địa bàn theo quy định tại Điều 16 Thông tư 75/2013/TT-BTC.</w:t>
            </w:r>
          </w:p>
        </w:tc>
        <w:tc>
          <w:tcPr>
            <w:tcW w:w="2126" w:type="dxa"/>
          </w:tcPr>
          <w:p w14:paraId="26587A37" w14:textId="342B0CA6" w:rsidR="00A40329" w:rsidRPr="00E24264" w:rsidRDefault="00A40329" w:rsidP="001E0652">
            <w:pPr>
              <w:keepNext/>
              <w:spacing w:after="0" w:line="240" w:lineRule="auto"/>
              <w:jc w:val="both"/>
              <w:rPr>
                <w:rFonts w:ascii="Times New Roman" w:eastAsia="Batang" w:hAnsi="Times New Roman" w:cs="Times New Roman"/>
                <w:noProof/>
                <w:sz w:val="20"/>
                <w:szCs w:val="20"/>
                <w:lang w:val="vi-VN" w:eastAsia="ko-KR"/>
              </w:rPr>
            </w:pPr>
            <w:r w:rsidRPr="00E24264">
              <w:rPr>
                <w:rFonts w:ascii="Times New Roman" w:eastAsia="Batang" w:hAnsi="Times New Roman" w:cs="Times New Roman"/>
                <w:noProof/>
                <w:sz w:val="20"/>
                <w:szCs w:val="20"/>
                <w:lang w:val="vi-VN" w:eastAsia="ko-KR"/>
              </w:rPr>
              <w:t>Kiểm toán hoạt động xây dựng và việc quản lý, sử dụng vốn đầu tư Dự án đầu tư xây dựng tuyến đường kết nối từ QL.1A giao với đường cao tốc Cầu Giẽ - Ninh Bình bằng nút giao Liêm Sơn đi qua huyện Bình Lục giao với đường  QL.21A, QL.21B, đường nối hai cao tốc Hà Nội - Hải Phòng và Hà Nội - Ninh Bình; kết nối hai di tích quốc gia đặc biệt là đền Trần Thương (tỉnh Hà Nam) và Khu di tích lịch sử - Văn hóa đền Trần (tỉnh Nam Định)</w:t>
            </w:r>
          </w:p>
        </w:tc>
      </w:tr>
      <w:tr w:rsidR="00A40329" w:rsidRPr="00E24264" w14:paraId="612EBDD3" w14:textId="77777777" w:rsidTr="00A40329">
        <w:trPr>
          <w:cantSplit/>
          <w:trHeight w:val="231"/>
        </w:trPr>
        <w:tc>
          <w:tcPr>
            <w:tcW w:w="559" w:type="dxa"/>
          </w:tcPr>
          <w:p w14:paraId="612EBDC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C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Nam Định</w:t>
            </w:r>
          </w:p>
        </w:tc>
        <w:tc>
          <w:tcPr>
            <w:tcW w:w="851" w:type="dxa"/>
          </w:tcPr>
          <w:p w14:paraId="612EBDC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DC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DC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Địa phương thực hiện thu và điều tiết số thu tiền sử dụng đất theo điểm a khoản 6 Điều 4 Nghị quyết số 53/2021/NQ-HĐND, theo đó, quy định tỷ lệ điều tiết số thu tiền sử dụng đất trong các trường hợp: giao đất, chuyển mục đích sử dụng đất theo kế hoạch hàng năm được Ủy ban nhân dân tỉnh phê duyệt; công nhận quyền sử dụng đất cho các hộ đã sử dụng đất</w:t>
            </w:r>
          </w:p>
          <w:p w14:paraId="612EBDC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Luật Đất đai số 31/2024/QH15, kể từ thời điểm 01/8/2024 (thời điểm Luật Đất đai số 31/2024/QH15 có hiệu lực), khái niệm “người sử dụng đất” không còn đối tượng là “hộ gia đình”, do đó, không đảm bảo tính thống nhất trong hệ thống văn bản quy phạm pháp luật giữa Nghị quyết số 53/2021/NQ-HĐND và Luật Đất đai 2024 theo quy định tại khoản 2 Điều 5 Luật Ban hành văn bản quy phạm pháp luật số 64/2025/QH15</w:t>
            </w:r>
          </w:p>
        </w:tc>
        <w:tc>
          <w:tcPr>
            <w:tcW w:w="3827" w:type="dxa"/>
          </w:tcPr>
          <w:p w14:paraId="612EBDCF"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điều chỉnh điểm a khoản 6 Điều 4 Nghị quyết số 53/2021/NQ-HĐND phù hợp quy định của Luật Đất đai số 31/2024/QH15 để thực hiện theo đúng quy định. Trường hợp Nghị quyết số 53/2021/NQ-HĐND hết hiệu lực (Nghị quyết áp dụng cho thời kỳ ổn định ngân sách 2022-2025) chưa được sửa đổi, bổ sung thì cần được phản ánh để kiểm tra, rà soát trên toàn địa bàn địa phương sau khi sáp nhập (tỉnh mới) để sửa đổi, bổ sung quy định về phân cấp nguồn thu, nhiệm vụ chi phù hợp với quy định của Luật Đất đai số 31/2024/QH15 đối với nội dung này.</w:t>
            </w:r>
          </w:p>
        </w:tc>
        <w:tc>
          <w:tcPr>
            <w:tcW w:w="2126" w:type="dxa"/>
          </w:tcPr>
          <w:p w14:paraId="612EBDD0"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điều tiết, quản lý, sử dụng nguồn thu tiền sử dụng đất để đầu tư phát triển kinh tế xã hội giai đoạn 2022-2024. theo Nghị quyết Hội đồng nhân dân tỉnh Nam Định và Chuyên đề việc đầu tư, ứng dụng phần mềm công nghệ thông tin, các hoạt động thuê dịch vụ công nghệ thông tin phục vụ cho Đề án chuyển đổi số tại tỉnh Nam Định giai đoạn 2021-2024</w:t>
            </w:r>
          </w:p>
        </w:tc>
      </w:tr>
      <w:tr w:rsidR="00A40329" w:rsidRPr="00E24264" w14:paraId="612EBDDF" w14:textId="77777777" w:rsidTr="00A40329">
        <w:trPr>
          <w:cantSplit/>
          <w:trHeight w:val="231"/>
        </w:trPr>
        <w:tc>
          <w:tcPr>
            <w:tcW w:w="559" w:type="dxa"/>
          </w:tcPr>
          <w:p w14:paraId="612EBDD4"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D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Chính phủ</w:t>
            </w:r>
          </w:p>
        </w:tc>
        <w:tc>
          <w:tcPr>
            <w:tcW w:w="851" w:type="dxa"/>
          </w:tcPr>
          <w:p w14:paraId="612EBDD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D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điều chỉnh</w:t>
            </w:r>
          </w:p>
        </w:tc>
        <w:tc>
          <w:tcPr>
            <w:tcW w:w="5672" w:type="dxa"/>
          </w:tcPr>
          <w:p w14:paraId="612EBDD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(1)  Các quy định pháp luật hiện hành chưa có hướng dẫn chi tiết về cách xác định thời gian hoạt động của dự án đầu tư KCN, tương ứng xác định cụ thể thời hạn được hưởng ưu đãi đầu tư và quy định cụ thể về các cam kết, ràng buộc trong việc chuyển giao công nghệ của các doanh nghiệp nước ngoài khi có hoạt động đầu tư vào thị trường Việt Nam; 1 số quy định (Khoản 6 Điều 7, điểm d khoản 3 Điều 68) </w:t>
            </w:r>
            <w:r w:rsidRPr="00E24264">
              <w:rPr>
                <w:rFonts w:ascii="Times New Roman" w:eastAsia="Times New Roman" w:hAnsi="Times New Roman" w:cs="Times New Roman"/>
                <w:sz w:val="20"/>
                <w:szCs w:val="20"/>
              </w:rPr>
              <w:lastRenderedPageBreak/>
              <w:t>tại Nghị định 35/2022/NĐ-CP ngày 28/5/2022 của Chính phủ chưa đồng bộ với Luật và Nghị định khác có liên quan.</w:t>
            </w:r>
          </w:p>
          <w:p w14:paraId="612EBDD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Tại điểm d khoản 3 Điều 68 Nghị định số 35/2022/NĐ-CP của Chính phủ quy định </w:t>
            </w:r>
            <w:r w:rsidRPr="00E24264">
              <w:rPr>
                <w:rFonts w:ascii="Times New Roman" w:eastAsia="Times New Roman" w:hAnsi="Times New Roman" w:cs="Times New Roman"/>
                <w:i/>
                <w:iCs/>
                <w:sz w:val="20"/>
                <w:szCs w:val="20"/>
              </w:rPr>
              <w:t>“Tổ chức, thực hiện thẩm định, phê duyệt kết quả thẩm định báo cáo đánh giá tác động môi trường; cấp, cấp đổi, điều chỉnh, cấp lại, thu hồi giấy phép môi trường đối với dự án đầu tư trong khu công nghiệp, khu kinh tế”</w:t>
            </w:r>
            <w:r w:rsidRPr="00E24264">
              <w:rPr>
                <w:rFonts w:ascii="Times New Roman" w:eastAsia="Times New Roman" w:hAnsi="Times New Roman" w:cs="Times New Roman"/>
                <w:sz w:val="20"/>
                <w:szCs w:val="20"/>
              </w:rPr>
              <w:t xml:space="preserve">. Tuy nhiên, việc phân cấp, ủy quyền này đang vướng mắc với các quy định tại Điều 35 Luật Bảo vệ Môi trường 2020. Điều 35 Luật Bảo vệ môi trường 2020 quy định thẩm quyền thẩm định báo cáo đánh giá tác động môi trường, cấp giấy phép môi trường thuộc: Bộ Tài nguyên và Môi trường, UBND cấp tỉnh, UBND cấp huyện, không quy định ủy quyền cho Ban Quản lý KKT, KCN. Việc thiếu cơ sở pháp lý rõ ràng dẫn đến khó khăn cho việc thực hiện chủ trương </w:t>
            </w:r>
            <w:r w:rsidRPr="00E24264">
              <w:rPr>
                <w:rFonts w:ascii="Times New Roman" w:eastAsia="Times New Roman" w:hAnsi="Times New Roman" w:cs="Times New Roman"/>
                <w:i/>
                <w:iCs/>
                <w:sz w:val="20"/>
                <w:szCs w:val="20"/>
              </w:rPr>
              <w:t>“một cửa, tại chỗ”</w:t>
            </w:r>
            <w:r w:rsidRPr="00E24264">
              <w:rPr>
                <w:rFonts w:ascii="Times New Roman" w:eastAsia="Times New Roman" w:hAnsi="Times New Roman" w:cs="Times New Roman"/>
                <w:sz w:val="20"/>
                <w:szCs w:val="20"/>
              </w:rPr>
              <w:t xml:space="preserve"> ; doanh nghiệp khi phải thực hiện thủ tục về môi trường tại nhiều cơ quan khác nhau sẽ mất thêm thời gian, chi phí, nhân lực thực hiện, giảm sức hút trong thu hút đầu tư.</w:t>
            </w:r>
          </w:p>
        </w:tc>
        <w:tc>
          <w:tcPr>
            <w:tcW w:w="3827" w:type="dxa"/>
          </w:tcPr>
          <w:p w14:paraId="612EBDD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(1) Chỉ đạo Bộ Tài chính, Bộ Khoa học và Công nghệ và các Bộ ngành có liên quan nghiên cứu, xem xét ban hành quy định cụ thể về việc nhà đầu tư nước ngoài cần có cam kết, ràng buộc chuyển giao công nghệ khi có hoạt </w:t>
            </w:r>
            <w:r w:rsidRPr="00E24264">
              <w:rPr>
                <w:rFonts w:ascii="Times New Roman" w:eastAsia="Times New Roman" w:hAnsi="Times New Roman" w:cs="Times New Roman"/>
                <w:sz w:val="20"/>
                <w:szCs w:val="20"/>
              </w:rPr>
              <w:lastRenderedPageBreak/>
              <w:t>động đầu tư vào thị trường Việt Nam tại các Khu kinh tế, Khu công nghiệp.</w:t>
            </w:r>
          </w:p>
          <w:p w14:paraId="612EBDDB"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Chỉ đạo các bộ, ngành có liên quan rà soát, hướng dẫn phân cấp cho Ban quản lý khu kinh tế trong việc thực hiện một số nhiệm vụ về bảo vệ môi trường trong KKT, KCN đảm bảo phù hợp, thống nhất để thực hiện.</w:t>
            </w:r>
          </w:p>
        </w:tc>
        <w:tc>
          <w:tcPr>
            <w:tcW w:w="2126" w:type="dxa"/>
          </w:tcPr>
          <w:p w14:paraId="612EBDDC"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thực hiện chính sách ưu đãi đầu tư tại khu kinh tế, khu công nghiệp giai đoạn 2022-2024 tại thành phố Hải Phòng</w:t>
            </w:r>
          </w:p>
        </w:tc>
      </w:tr>
      <w:tr w:rsidR="00A40329" w:rsidRPr="00E24264" w14:paraId="612EBDE9" w14:textId="77777777" w:rsidTr="00A40329">
        <w:trPr>
          <w:cantSplit/>
          <w:trHeight w:val="231"/>
        </w:trPr>
        <w:tc>
          <w:tcPr>
            <w:tcW w:w="559" w:type="dxa"/>
          </w:tcPr>
          <w:p w14:paraId="612EBDE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E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Quảng Ngãi</w:t>
            </w:r>
          </w:p>
        </w:tc>
        <w:tc>
          <w:tcPr>
            <w:tcW w:w="851" w:type="dxa"/>
          </w:tcPr>
          <w:p w14:paraId="612EBDE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DE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w:t>
            </w:r>
          </w:p>
        </w:tc>
        <w:tc>
          <w:tcPr>
            <w:tcW w:w="5672" w:type="dxa"/>
          </w:tcPr>
          <w:p w14:paraId="612EBDE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Theo quy định tại Điều 10 Luật NSNN, mức bố trí dự phòng NS từ 2 - 4% tổng chi ngân sách mỗi cấp; HĐND tỉnh quy định tại Nghị quyết số 29/2021/NQ-HĐND mức bố trí dự phòng NS bằng 2% tổng chi NS mỗi cấp. Tuy nhiên, năm 2024 HĐND tỉnh quyết nghị dự toán bố trí dự phòng cho NS huyện ở mức 2,6 - 2,8% chưa phù hợp với Nghị quyết đã ban hành, vượt 48.875trđ.</w:t>
            </w:r>
          </w:p>
        </w:tc>
        <w:tc>
          <w:tcPr>
            <w:tcW w:w="3827" w:type="dxa"/>
          </w:tcPr>
          <w:p w14:paraId="612EBDE5"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Xem xét điều chỉnh quy định mức bố trí dự phòng NS tại Nghị quyết số 29/2021/NQ-HĐND cho phù hợp quy định của Luật NSNN (bố trí từ 2-4% tổng chi NS mỗi cấp) và thực tiễn của địa phương theo thẩm quyền.</w:t>
            </w:r>
          </w:p>
        </w:tc>
        <w:tc>
          <w:tcPr>
            <w:tcW w:w="2126" w:type="dxa"/>
          </w:tcPr>
          <w:p w14:paraId="612EBDE6"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Quảng Ngãi; Chuyên đề việc đầu tư, ứng dụng phần mềm công nghệ thông tin, các hoạt động thuê dịch vụ công nghệ thông tin phục vụ chuyển đổi số tại tỉnh Quảng Ngãi giai đoạn 2021-2024</w:t>
            </w:r>
          </w:p>
        </w:tc>
      </w:tr>
      <w:tr w:rsidR="00A40329" w:rsidRPr="00E24264" w14:paraId="612EBDF6" w14:textId="77777777" w:rsidTr="00A40329">
        <w:trPr>
          <w:cantSplit/>
          <w:trHeight w:val="231"/>
        </w:trPr>
        <w:tc>
          <w:tcPr>
            <w:tcW w:w="559" w:type="dxa"/>
          </w:tcPr>
          <w:p w14:paraId="612EBDEA"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E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Hải Phòng</w:t>
            </w:r>
          </w:p>
        </w:tc>
        <w:tc>
          <w:tcPr>
            <w:tcW w:w="851" w:type="dxa"/>
          </w:tcPr>
          <w:p w14:paraId="612EBDE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DE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tcPr>
          <w:p w14:paraId="612EBDE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(1) Tại khoản điểm c khoản 1 Điều 5, điểm d khoản 2 Điều 5, điểm c khoản 1,2 Điều 6 Quyết định số 07/2020/QĐ-UBND ngày 20/4/2020 của UBND thành phố Hải Phòng  quy định </w:t>
            </w:r>
            <w:r w:rsidRPr="00E24264">
              <w:rPr>
                <w:rFonts w:ascii="Times New Roman" w:eastAsia="Times New Roman" w:hAnsi="Times New Roman" w:cs="Times New Roman"/>
                <w:i/>
                <w:iCs/>
                <w:sz w:val="20"/>
                <w:szCs w:val="20"/>
              </w:rPr>
              <w:t>“...Ban Quản lý Khu kinh tế Hải Phòng xác định số tiền thuê đất phải nộp và thông báo đến người sử dụng đất”,</w:t>
            </w:r>
            <w:r w:rsidRPr="00E24264">
              <w:rPr>
                <w:rFonts w:ascii="Times New Roman" w:eastAsia="Times New Roman" w:hAnsi="Times New Roman" w:cs="Times New Roman"/>
                <w:sz w:val="20"/>
                <w:szCs w:val="20"/>
              </w:rPr>
              <w:t xml:space="preserve"> tuy nhiên tại khoản 1 Điều 42 Nghị định số 103/2024/NĐ-CP ngày 30 tháng 7 năm 2024 quy định  </w:t>
            </w:r>
            <w:r w:rsidRPr="00E24264">
              <w:rPr>
                <w:rFonts w:ascii="Times New Roman" w:eastAsia="Times New Roman" w:hAnsi="Times New Roman" w:cs="Times New Roman"/>
                <w:i/>
                <w:iCs/>
                <w:sz w:val="20"/>
                <w:szCs w:val="20"/>
              </w:rPr>
              <w:t>“Căn cứ hồ sơ địa chính về thuê đất (thông tin diện tích, vị trí, mục đích, hình thức thuê đất, thời hạn thuê đất); quyết định giá đất, đơn giá cho thuê đất xây dựng công trình ngầm của Ủy ban nhân dân cấp tỉnh; Bảng giá đất, mức tỷ lệ (%) để tính tiền thuê đất do Ủy ban nhân dân cấp tỉnh quy định; cơ quan thuế tổ chức việc tính, thu, nộp tiền thuê đất”</w:t>
            </w:r>
            <w:r w:rsidRPr="00E24264">
              <w:rPr>
                <w:rFonts w:ascii="Times New Roman" w:eastAsia="Times New Roman" w:hAnsi="Times New Roman" w:cs="Times New Roman"/>
                <w:sz w:val="20"/>
                <w:szCs w:val="20"/>
              </w:rPr>
              <w:t>.</w:t>
            </w:r>
          </w:p>
          <w:p w14:paraId="612EBDE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(2) Tại điểm d Mục 4 Chương II Quyết định số 17/2023/QĐ-UBND ngày 21/6/2023 của UBND thành phố Hải Phòng ban hành quy định chức năng, nhiệm vụ, quyền hạn và cơ cấu tổ chức của Ban Quản lý Khu kinh tế Hải Phòng </w:t>
            </w:r>
            <w:r w:rsidRPr="00E24264">
              <w:rPr>
                <w:rFonts w:ascii="Times New Roman" w:eastAsia="Times New Roman" w:hAnsi="Times New Roman" w:cs="Times New Roman"/>
                <w:i/>
                <w:iCs/>
                <w:sz w:val="20"/>
                <w:szCs w:val="20"/>
              </w:rPr>
              <w:t>“Kiểm tra, giám sát, đánh giá hiệu quả sử dụng đất của doanh nghiệp, báo cáo, đề xuất Ủy ban nhân dân thành phố phương án xử lý đối với những trường hợp có hành vi vi phạm về quản lý, sử dụng đất đai, chậm đưa đất vào sử dụng gây lãng phí tài nguyên theo quy định”</w:t>
            </w:r>
            <w:r w:rsidRPr="00E24264">
              <w:rPr>
                <w:rFonts w:ascii="Times New Roman" w:eastAsia="Times New Roman" w:hAnsi="Times New Roman" w:cs="Times New Roman"/>
                <w:sz w:val="20"/>
                <w:szCs w:val="20"/>
              </w:rPr>
              <w:t>; trong khi Nghị định số 35/2022/NĐ-CP ngày 28/5/2022 của Chính phủ không quy định nhiệm vụ, quyền hạn của Ban quản lý khu kinh tế trong việc kiểm tra, giám sát, đánh giá hiệu quả sử dụng đất của doanh nghiệp (Điều 69 Nghị định 35/2022/NĐ-CP); khoản 3 Điều 101 Nghị định số 102/2024/NĐ-CP ngày 30/7/2024 của Chính phủ hướng dẫn Luật Đất đai năm 2024, việc kiểm tra, giám sát thực tế việc quản lý, sử dụng đất đai thuộc UBND các cấp.</w:t>
            </w:r>
          </w:p>
        </w:tc>
        <w:tc>
          <w:tcPr>
            <w:tcW w:w="3827" w:type="dxa"/>
          </w:tcPr>
          <w:p w14:paraId="612EBDF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Đề nghị UBND thành phố Hải Phòng xem xét sửa đổi văn bản:</w:t>
            </w:r>
          </w:p>
          <w:p w14:paraId="612EBDF1" w14:textId="17A034D6"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Xem xét sửa đổi quy định tại điểm c khoản 1 Điều 5, điểm d khoản 2 Điều 5, điểm c khoản 1, 2 Điều 6 của Quyết định số 07/2020/QĐ-UBND ngày 20/4/2020 của UBND thành phố Hải Phòng để đảm bảo phù hợp với khoản 1 Điều 42 Nghị định số 103/2024/NĐ-CP ngày 30 tháng 7 năm 2024 của Chính phủ.</w:t>
            </w:r>
          </w:p>
          <w:p w14:paraId="612EBDF2"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Xem xét sửa đổi quy định tại điểm d Mục 4 Chương II Quyết định số 17/2023/QĐ-UBND ngày 21/6/2023 của UBND thành phố </w:t>
            </w:r>
            <w:r w:rsidRPr="00E24264">
              <w:rPr>
                <w:rFonts w:ascii="Times New Roman" w:eastAsia="Times New Roman" w:hAnsi="Times New Roman" w:cs="Times New Roman"/>
                <w:sz w:val="20"/>
                <w:szCs w:val="20"/>
              </w:rPr>
              <w:lastRenderedPageBreak/>
              <w:t>Hải Phòng để đảm bảo phù hợp với khoản 3 Điều 101 Nghị định số 102/2024/NĐ-CP ngày 30/7/2024 của Chính phủ hướng dẫn Luật Đất đai năm 2024.</w:t>
            </w:r>
          </w:p>
        </w:tc>
        <w:tc>
          <w:tcPr>
            <w:tcW w:w="2126" w:type="dxa"/>
          </w:tcPr>
          <w:p w14:paraId="612EBDF3"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thực hiện chính sách ưu đãi đầu tư tại khu kinh tế, khu công nghiệp giai đoạn 2022-2024 tại thành phố Hải Phòng</w:t>
            </w:r>
          </w:p>
        </w:tc>
      </w:tr>
      <w:tr w:rsidR="00A40329" w:rsidRPr="00E24264" w14:paraId="612EBE00" w14:textId="77777777" w:rsidTr="00A40329">
        <w:trPr>
          <w:cantSplit/>
          <w:trHeight w:val="231"/>
        </w:trPr>
        <w:tc>
          <w:tcPr>
            <w:tcW w:w="559" w:type="dxa"/>
          </w:tcPr>
          <w:p w14:paraId="612EBDF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DF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DF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DF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DF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Hiện nay việc xác định thời hạn hoạt động của dự án đầu tư khu công nghiệp được xác định theo khoản 1  và 2  Điều 44 Luật Đầu tư năm 2020 (quy định thời gian </w:t>
            </w:r>
            <w:r w:rsidRPr="00E24264">
              <w:rPr>
                <w:rFonts w:ascii="Times New Roman" w:eastAsia="Times New Roman" w:hAnsi="Times New Roman" w:cs="Times New Roman"/>
                <w:i/>
                <w:iCs/>
                <w:sz w:val="20"/>
                <w:szCs w:val="20"/>
              </w:rPr>
              <w:t>“không quá”</w:t>
            </w:r>
            <w:r w:rsidRPr="00E24264">
              <w:rPr>
                <w:rFonts w:ascii="Times New Roman" w:eastAsia="Times New Roman" w:hAnsi="Times New Roman" w:cs="Times New Roman"/>
                <w:sz w:val="20"/>
                <w:szCs w:val="20"/>
              </w:rPr>
              <w:t xml:space="preserve"> 50 năm hoặc 70 năm) và tại khoản 3  Điều 27 Nghị định 31/2021/NĐ-CP có hiệu lực từ ngày 26/03/2021 hướng dẫn Luật Đầu tư quy định “Căn cứ mục tiêu, quy mô, địa điểm, yêu cầu hoạt động của dự án đầu tư, cơ quan có thẩm quyền chấp thuận chủ trương đầu tư, cơ quan đăng ký đầu tư xem xét, quyết định thời hạn hoạt động, điều chỉnh thời hạn hoạt động của dự án đầu tư theo quy định tương ứng tại các khoản 1 và 2 Điều này”, như vậy, Luật và văn bản hướng dẫn chưa có hướng dẫn chi tiết về cách xác định thời gian hoạt động của dự án đầu tư để làm cơ sở quyết định thời hạn hoạt động và tương ứng có căn cứ xác định thời gian dự án được hưởng ưu đãi đầu tư phù hợp kể từ khi dự án đã hoàn đủ vốn đầu tư. Thực tế tại Ban quản lý KKT giai đoạn 2022-2024 cấp giấy chứng nhận đầu tư đối với 02 dự án đầu tư hạ tầng khu công nghiệp như sau: (1) Giấy chứng nhận đăng ký đầu tư 2333875823 ngày 06/12/2021  xác định thời gian hoạt động của dự án là 50 năm; theo số liệu phân tích hiệu quả tài chính tại Hồ sơ dự án, thời gian hoàn vốn của dự án là 20 năm 07 tháng; thời gian được hưởng ưu đãi miễn tiền thuê đất là toàn bộ thời gian dự án (50 năm); (2) Giấy chứng nhận đăng ký đầu tư 3680351818 ngày 17/6/2022  xác định thời gian hoạt động của dự án là 50 năm; theo số liệu phân tích hiệu quả tài chính tại hồ sơ dự án thì Thời gian thu hồi vốn (T) của dự án là 17 năm (đến thời điểm kiểm toán đơn vị chưa làm hồ sơ miễn, giảm tiền thuê đất). Việc xác định thời gian hoạt động của dự án đầu tư tại ban QLKKT không có thuyết minh cơ sở, căn cứ tính </w:t>
            </w:r>
            <w:r w:rsidRPr="00E24264">
              <w:rPr>
                <w:rFonts w:ascii="Times New Roman" w:eastAsia="Times New Roman" w:hAnsi="Times New Roman" w:cs="Times New Roman"/>
                <w:sz w:val="20"/>
                <w:szCs w:val="20"/>
              </w:rPr>
              <w:lastRenderedPageBreak/>
              <w:t>mà chỉ căn cứ đề nghị của nhà đầu tư về số năm hoạt động của dự án.</w:t>
            </w:r>
          </w:p>
        </w:tc>
        <w:tc>
          <w:tcPr>
            <w:tcW w:w="3827" w:type="dxa"/>
          </w:tcPr>
          <w:p w14:paraId="612EBDFC"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Xem xét, nghiên cứu ban hành quy định hướng dẫn cụ thể cách xác định thời hạn hoạt động của dự án đầu tư khu công nghiệp, trong đó có tính đến yếu tố thời gian hoàn vốn của dự án để đảm bảo lợi ích nhà đầu tư đồng thời đảm bảo tránh thất thu ngân sách nhà nước.</w:t>
            </w:r>
          </w:p>
        </w:tc>
        <w:tc>
          <w:tcPr>
            <w:tcW w:w="2126" w:type="dxa"/>
          </w:tcPr>
          <w:p w14:paraId="612EBDFD"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thực hiện chính sách ưu đãi đầu tư tại khu kinh tế, khu công nghiệp giai đoạn 2022-2024 tại thành phố Hải Phòng</w:t>
            </w:r>
          </w:p>
        </w:tc>
      </w:tr>
      <w:tr w:rsidR="00A40329" w:rsidRPr="00E24264" w14:paraId="612EBE0A" w14:textId="77777777" w:rsidTr="00A40329">
        <w:trPr>
          <w:cantSplit/>
          <w:trHeight w:val="231"/>
        </w:trPr>
        <w:tc>
          <w:tcPr>
            <w:tcW w:w="559" w:type="dxa"/>
          </w:tcPr>
          <w:p w14:paraId="612EBE0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0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Lâm Đồng</w:t>
            </w:r>
          </w:p>
        </w:tc>
        <w:tc>
          <w:tcPr>
            <w:tcW w:w="851" w:type="dxa"/>
          </w:tcPr>
          <w:p w14:paraId="612EBE0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0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Hủy bỏ</w:t>
            </w:r>
          </w:p>
        </w:tc>
        <w:tc>
          <w:tcPr>
            <w:tcW w:w="5672" w:type="dxa"/>
          </w:tcPr>
          <w:p w14:paraId="612EBE0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khoản 1 và khoản 4 Điều 3 Nghị quyết số 315/2024/NQ-HĐND ngày 12/7/2024 của HĐND tỉnh Lâm Đồng  có quy định chính sách hỗ trợ cho đối tượng tinh giản biên chế dôi dư của cơ quan, tổ chức do sắp xếp đơn vị hành chính cấp huyện, cấp xã trên địa bàn tỉnh Lâm Đồng  từ nguồn ngân sách địa phương (hỗ trợ các đối tượng quy định tại khoản 1,2,3 Điều 2)  theo quy định tại điểm g khoản 1 Điều 14 của Nghị định số 29/2023/NĐ-CP ngày 03/6/2023 của Chính phủ quy định về tinh giản biên chế nhưng hiện nay không còn phù hợp với quy định tại quy định tại khoản 17 Điều 1 Nghị định số 67/2025/NĐ-CP ngày 15/3/2025 của Chính phủ về sửa đổi, bổ sung một số điều của Nghị định số 178/2024/NĐ-CP ngày 31/12/2024 của Chính phủ về chính sách, chế độ đối với cán bộ, công chức, viên chức, người lao động và lực lượng vũ trang trong thực hiện sắp xếp tổ chức bộ máy của hệ thống chính trị (có hiệu lực từ ngày 15/3/2025, đã bãi bỏ khoản 6 Điều 19 của Nghị định số 178/2024/NĐ-CP về quy định “Căn cứ khả năng cân đối ngân sách địa phương, trình HĐND cùng cấp ban hành chính sách hỗ trợ thêm đối với các đối tượng thuộc phạm vi quản lý”) và quy định tại Nghị định số 154/2025/NĐ-CP ngày 15/6/2025 của Chính phủ quy định về tinh giản biên chế (có hiệu lực từ ngày 16/6/2025) thay thế Nghị định số 29/2023/NĐ-CP, không có quy định về “Trên cơ sở cân đối ngân sách địa phương, trình Hội đồng nhân dân cùng cấp ban hành chính sách hỗ trợ thêm đối với đối tượng tinh giản biên chế”.</w:t>
            </w:r>
          </w:p>
        </w:tc>
        <w:tc>
          <w:tcPr>
            <w:tcW w:w="3827" w:type="dxa"/>
          </w:tcPr>
          <w:p w14:paraId="612EBE06"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Bãi bỏ Nghị quyết số 315/2024/NQ-HĐND cho phù hợp với quy định tại Nghị định số 154/2025/NĐ-CP của Chính phủ.</w:t>
            </w:r>
          </w:p>
        </w:tc>
        <w:tc>
          <w:tcPr>
            <w:tcW w:w="2126" w:type="dxa"/>
          </w:tcPr>
          <w:p w14:paraId="612EBE07"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Lâm Đồng</w:t>
            </w:r>
          </w:p>
        </w:tc>
      </w:tr>
      <w:tr w:rsidR="00A40329" w:rsidRPr="00E24264" w14:paraId="612EBE17" w14:textId="77777777" w:rsidTr="00A40329">
        <w:trPr>
          <w:cantSplit/>
          <w:trHeight w:val="231"/>
        </w:trPr>
        <w:tc>
          <w:tcPr>
            <w:tcW w:w="559" w:type="dxa"/>
          </w:tcPr>
          <w:p w14:paraId="612EBE0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0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Đắk Lắk</w:t>
            </w:r>
          </w:p>
        </w:tc>
        <w:tc>
          <w:tcPr>
            <w:tcW w:w="851" w:type="dxa"/>
          </w:tcPr>
          <w:p w14:paraId="612EBE0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quyết/Quyết định</w:t>
            </w:r>
          </w:p>
        </w:tc>
        <w:tc>
          <w:tcPr>
            <w:tcW w:w="851" w:type="dxa"/>
          </w:tcPr>
          <w:p w14:paraId="612EBE0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điều chỉnh</w:t>
            </w:r>
          </w:p>
        </w:tc>
        <w:tc>
          <w:tcPr>
            <w:tcW w:w="5672" w:type="dxa"/>
          </w:tcPr>
          <w:p w14:paraId="612EBE0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Sở Tài chính tham mưu UBND tỉnh để trình HĐND tỉnh ban hành Nghị quyết 26/2023/NQ-HĐND ngày 07/12/2023 của HĐND tỉnh Đắk Lắk nhưng chưa quyết định tỷ lệ phân cấp nguồn thu tiền sử dụng đất từ đấu giá quyền sử dụng đất, giao đất có thu tiền sử dụng đất (sau khi hoàn trả kinh phí bồi thường, giải phóng mặt bằng) trên địa bàn xã cho ngân sách xã để thực hiện nhiệm vụ xây dựng nông thôn mới theo quy định tại tiết đ điểm 2 Mục V Chương trình MTQG xây dựng nông thôn mới, giai đoạn 2021 – 2025 ban hành kèm theo Quyết định số 263/QĐ-TTg ngày 22/02/2022 của Thủ tướng Chính phủ .</w:t>
            </w:r>
          </w:p>
          <w:p w14:paraId="612EBE1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Địa phương cấp lệnh chi tiền từ ngân sách tỉnh bổ sung nguồn vốn quỹ Phát triển đất trong năm 2024 số tiền 85.029 trđ (lũy kế nguồn vốn quỹ ngân sách tỉnh cấp đến thời điểm 31/3/2025 là: 2.043.944,3 trđ) là chưa đảm bảo quy định . Trong khi địa phương chưa quyết định ban hành vốn điều lệ của Quỹ Phát triển đất  và hiện nay, đang thực hiện trích 5% tổng số tiền sử dụng đất theo quy định </w:t>
            </w:r>
            <w:r w:rsidRPr="00E24264">
              <w:rPr>
                <w:rFonts w:ascii="Times New Roman" w:eastAsia="Times New Roman" w:hAnsi="Times New Roman" w:cs="Times New Roman"/>
                <w:sz w:val="20"/>
                <w:szCs w:val="20"/>
              </w:rPr>
              <w:lastRenderedPageBreak/>
              <w:t xml:space="preserve">tại khoản 1, điều 2 Nghị quyết  26/2023/NQ-HĐND, ngày 07/12/2023 của HĐND tỉnh Đắk Lắk quy định </w:t>
            </w:r>
            <w:r w:rsidRPr="00E24264">
              <w:rPr>
                <w:rFonts w:ascii="Times New Roman" w:eastAsia="Times New Roman" w:hAnsi="Times New Roman" w:cs="Times New Roman"/>
                <w:i/>
                <w:iCs/>
                <w:sz w:val="20"/>
                <w:szCs w:val="20"/>
              </w:rPr>
              <w:t>“Tỷ lệ phần trăm phân chia nguồn thu tiền sử dụng đất cho ngân sách tỉnh nêu trên đã bao gồm: 5% chuyển cho Quỹ phát triển đất tỉnh…”</w:t>
            </w:r>
            <w:r w:rsidRPr="00E24264">
              <w:rPr>
                <w:rFonts w:ascii="Times New Roman" w:eastAsia="Times New Roman" w:hAnsi="Times New Roman" w:cs="Times New Roman"/>
                <w:sz w:val="20"/>
                <w:szCs w:val="20"/>
              </w:rPr>
              <w:t>.</w:t>
            </w:r>
          </w:p>
        </w:tc>
        <w:tc>
          <w:tcPr>
            <w:tcW w:w="3827" w:type="dxa"/>
          </w:tcPr>
          <w:p w14:paraId="612EBE1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Đề nghị UBND tỉnh: </w:t>
            </w:r>
          </w:p>
          <w:p w14:paraId="612EBE1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UBND tỉnh trình HĐND tỉnh sửa đổi, bổ sung Nghị quyết 26/2023/NQ-HĐND ngày 07/12/2023 của HĐND tỉnh Đắk Lắk để quyết định tỷ lệ phân cấp nguồn thu tiền sử dụng đất từ đấu giá quyền sử dụng đất, giao đất có thu tiền sử dụng đất trên địa bàn xã cho ngân sách xã để thực hiện nhiệm vụ xây dựng nông thôn mới theo quy định.</w:t>
            </w:r>
          </w:p>
          <w:p w14:paraId="612EBE13"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UBND tỉnh chỉ đạo thực hiện sửa đổi và ban hành quy định điều lệ về tổ chức, hoạt động và Quy chế quản lý, sử dụng Quỹ Phát triển Nhà - Đất tỉnh Đắk Lắk, trong đó phải quy định đối với việc vốn điều lệ của Quỹ Phát triển Nhà - Đất tỉnh Đắk Lắk phù hợp với quy định của pháp luật</w:t>
            </w:r>
          </w:p>
        </w:tc>
        <w:tc>
          <w:tcPr>
            <w:tcW w:w="2126" w:type="dxa"/>
          </w:tcPr>
          <w:p w14:paraId="612EBE14"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và chuyên đề lồng ghép của tỉnh Đắk Lắk</w:t>
            </w:r>
          </w:p>
        </w:tc>
      </w:tr>
      <w:tr w:rsidR="00A40329" w:rsidRPr="00E24264" w14:paraId="612EBE21" w14:textId="77777777" w:rsidTr="00A40329">
        <w:trPr>
          <w:cantSplit/>
          <w:trHeight w:val="231"/>
        </w:trPr>
        <w:tc>
          <w:tcPr>
            <w:tcW w:w="559" w:type="dxa"/>
          </w:tcPr>
          <w:p w14:paraId="612EBE18"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1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thành phố Hải Phòng</w:t>
            </w:r>
          </w:p>
        </w:tc>
        <w:tc>
          <w:tcPr>
            <w:tcW w:w="851" w:type="dxa"/>
          </w:tcPr>
          <w:p w14:paraId="612EBE1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1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E1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Công tác thu lệ phí trước bạ: Qua kiểm toán tại 06 quận, huyện cho thấy địa phương thực hiện mức thu lệ phí trước bạ lần đầu đối với xe ô tô từ 9 chỗ ngồi trở xuống theo quy định tại khoản 5, Điều 1 Nghị quyết số 12/NQ-HĐND ngày 12/7/2018 của HĐND thành phố Hải Phòng. Tuy nhiên, căn cứ pháp lý để ban hành Nghị quyết số 12/NQ-HĐND ngày 12/7/2018 của HĐND thành phố Hải Phòng là Nghị định số 140/2016/NĐ-CP ngày 10/10/2016 về Lệ phí trước bạ đã hết hiệu lực và được thay thế bởi Nghị định số 10/2022/NĐ-CP ngày 15/01/2022 về Lệ phí trước bạ. HĐND thành phố Hải Phòng chưa tiến hành rà soát lại các căn cứ pháp lý đã hết hiệu lực để sửa đổi, bổ sung Nghị quyết cho phù hợp với quy định.</w:t>
            </w:r>
          </w:p>
        </w:tc>
        <w:tc>
          <w:tcPr>
            <w:tcW w:w="3827" w:type="dxa"/>
          </w:tcPr>
          <w:p w14:paraId="612EBE1D"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xem xét để sửa đổi, bổ sung đối với căn cứ pháp lý của Nghị quyết số 12/NQ-HĐND ngày 12/7/2018 của HĐND thành phố Hải Phòng cho phù hợp quy định; sau khi Thành phố hoàn thành sáp nhập tỉnh và hoàn thành mô hình chính quyền địa phương 2 cấp, khi ban hành quy định phân cấp nguồn thu, nhiệm vụ chi và tỷ lệ phần trăm (%) phân chia các khoản thu giữa ngân sách các cấp chính quyền địa phương, cần xem xét, điều chỉnh, khắc phục các hạn chế tại Nghị quyết 09/2022/NQ-HĐND ngày 09/12/2022 của HĐND thành phố Hải Phòng như Kiểm toán nhà nước đã nêu tại Báo cáo kiểm toán này để phù hợp với các quy định và tình hình tại địa phương (trong đó có nội dung: (i) khắc phục việc chưa xác định rõ được phần phân chia thuế bảo vệ môi trường đối với sản phẩm xăng, dầu giữa ngân sách trung ương và ngân sách địa phương; (ii) khắc phục việc vừa quy định khoản thu tiền sử dụng đất các dự án do Thành phố tổ chức thực hiện là khoản thu ngân sách thành phố hưởng 100%, nhưng vừa quy định khoản thu này là khoản thu phân chia giữa các cấp ngân sách).</w:t>
            </w:r>
          </w:p>
        </w:tc>
        <w:tc>
          <w:tcPr>
            <w:tcW w:w="2126" w:type="dxa"/>
          </w:tcPr>
          <w:p w14:paraId="612EBE1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và báo cáo quyết toán Ngân sách địa phương năm 2024 của thành phố Hải Phòng</w:t>
            </w:r>
          </w:p>
        </w:tc>
      </w:tr>
      <w:tr w:rsidR="00A40329" w:rsidRPr="00E24264" w14:paraId="612EBE2B" w14:textId="77777777" w:rsidTr="00A40329">
        <w:trPr>
          <w:cantSplit/>
          <w:trHeight w:val="231"/>
        </w:trPr>
        <w:tc>
          <w:tcPr>
            <w:tcW w:w="559" w:type="dxa"/>
          </w:tcPr>
          <w:p w14:paraId="612EBE2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2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Hải Phòng</w:t>
            </w:r>
          </w:p>
        </w:tc>
        <w:tc>
          <w:tcPr>
            <w:tcW w:w="851" w:type="dxa"/>
          </w:tcPr>
          <w:p w14:paraId="612EBE2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E2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thay thế</w:t>
            </w:r>
          </w:p>
        </w:tc>
        <w:tc>
          <w:tcPr>
            <w:tcW w:w="5672" w:type="dxa"/>
          </w:tcPr>
          <w:p w14:paraId="612EBE26"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Hải Phòng chưa ban hành văn bản sửa đổi, thay thế Quyết định số 30/2022/QĐ-UBND ngày 03/6/2022 quy định tiêu chuẩn, định mức xe ô tô chuyên dùng cho các cơ quan, tổ chức, đơn vị thuộc phạm vi quản lý của thành phố Hải Phòng theo hướng dẫn. Trong đó qua kiểm toán tại quận Đồ Sơn cho thấy: đơn vị đang quản lý, sử dụng 02 xe ô tô chuyên dùng không còn nằm trong danh mục xe chuyên dùng được quy định tại Điều 16 Nghị định số 72/2023/NĐ-CP nhưng chưa được xử lý, sắp xếp lại kịp thời theo hướng dẫn làm cơ sở xử lý, sắp xếp lại theo quy định; UBND quận Đồ Sơn chưa ban hành tiêu chuẩn, định mức sử dụng công trình sự nghiệp của đơn vị sự nghiệp công lập theo quy định</w:t>
            </w:r>
          </w:p>
        </w:tc>
        <w:tc>
          <w:tcPr>
            <w:tcW w:w="3827" w:type="dxa"/>
          </w:tcPr>
          <w:p w14:paraId="612EBE27"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văn bản sửa đổi, thay thế Quyết định số 30/2022/QĐ-UBND ngày 03/6/2022 của UBND thành phố Hải Phòng (Quy định tiêu chuẩn, định mức xe ô tô chuyên dùng cho các cơ quan, tổ chức, đơn vị thuộc phạm vi quản lý của thành phố Hải Phòng) theo quy định tại điểm b khoản 1 Điều 24 Nghị định số 72/2023/NĐ-CP ngày 26/9/2023 của Chính phủ.</w:t>
            </w:r>
          </w:p>
        </w:tc>
        <w:tc>
          <w:tcPr>
            <w:tcW w:w="2126" w:type="dxa"/>
          </w:tcPr>
          <w:p w14:paraId="612EBE2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và báo cáo quyết toán Ngân sách địa phương năm 2024 của thành phố Hải Phòng</w:t>
            </w:r>
          </w:p>
        </w:tc>
      </w:tr>
      <w:tr w:rsidR="00A40329" w:rsidRPr="00E24264" w14:paraId="612EBE38" w14:textId="77777777" w:rsidTr="00A40329">
        <w:trPr>
          <w:cantSplit/>
          <w:trHeight w:val="231"/>
        </w:trPr>
        <w:tc>
          <w:tcPr>
            <w:tcW w:w="559" w:type="dxa"/>
          </w:tcPr>
          <w:p w14:paraId="612EBE2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2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Đồng Nai</w:t>
            </w:r>
          </w:p>
        </w:tc>
        <w:tc>
          <w:tcPr>
            <w:tcW w:w="851" w:type="dxa"/>
          </w:tcPr>
          <w:p w14:paraId="612EBE2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E2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w:t>
            </w:r>
          </w:p>
        </w:tc>
        <w:tc>
          <w:tcPr>
            <w:tcW w:w="5672" w:type="dxa"/>
          </w:tcPr>
          <w:p w14:paraId="612EBE3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Trung tâm Dịch vụ nông nghiệp có hoạt động cung cấp nước sạch nông thôn và thu tiền nước theo mức giá quy định tại Quyết định số 29/2020/QĐ-UBND ngày 23/7/2020 của UBND tỉnh, trong đó khoản 4 Điều 1 có quy định mức trích nộp tiền khấu hao tài sản cố định. Tuy nhiên, quy định trích nộp khấu hao tại Quyết định số 29/2020/QĐ-UBND của UBND trên cơ sở quy định tại điểm b khoản 1 Điều 21 Thông tư số 54/2013/TT-BTC ngày 04/5/2013 đã hết hiệu lực, được thay thế bằng Thông tư số 73/2022/TT-BTC ngày 15/12/2022 của Bộ Tài chính quy định chế độ quản lý, tính hao mòn, trích khấu hao tài sản kết cấu hạ tầng cấp nước sạch, không còn quy định về nộp khấu hao TSCĐ vào NSNN, song UBND tỉnh chưa sửa đổi Quyết định số 29/2020/QĐ-UBND cho phù hợp.</w:t>
            </w:r>
          </w:p>
          <w:p w14:paraId="612EBE3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tc>
        <w:tc>
          <w:tcPr>
            <w:tcW w:w="3827" w:type="dxa"/>
          </w:tcPr>
          <w:p w14:paraId="612EBE32"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nghị UBND Tỉnh:</w:t>
            </w:r>
          </w:p>
          <w:p w14:paraId="612EBE33"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Sửa đổi, bổ sung khoản 4 Điều 1 Quyết định số 29/2020/QĐ-UBND ngày 23/7/2020 của UBND tỉnh Đồng Nai (về mức trích nộp tiền khấu hao tài sản cố định) cho phù hợp với quy định tại Thông tư số 73/2022/TT-BTC ngày 15/12/2022 của Bộ Tài chính quy định chế độ quản lý, tính hao mòn, trích khấu hao tài sản kết cấu hạ tầng nước sạch.</w:t>
            </w:r>
          </w:p>
          <w:p w14:paraId="612EBE34"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p>
        </w:tc>
        <w:tc>
          <w:tcPr>
            <w:tcW w:w="2126" w:type="dxa"/>
          </w:tcPr>
          <w:p w14:paraId="612EBE35"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Đồng Nai và các Chuyên đề lồng ghép</w:t>
            </w:r>
          </w:p>
        </w:tc>
      </w:tr>
      <w:tr w:rsidR="00A40329" w:rsidRPr="00E24264" w14:paraId="6702B4D4" w14:textId="77777777" w:rsidTr="00A40329">
        <w:trPr>
          <w:cantSplit/>
          <w:trHeight w:val="231"/>
        </w:trPr>
        <w:tc>
          <w:tcPr>
            <w:tcW w:w="559" w:type="dxa"/>
          </w:tcPr>
          <w:p w14:paraId="1AE877A4"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3429DA0" w14:textId="6706364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Đồng Nai</w:t>
            </w:r>
          </w:p>
        </w:tc>
        <w:tc>
          <w:tcPr>
            <w:tcW w:w="851" w:type="dxa"/>
          </w:tcPr>
          <w:p w14:paraId="0DA5F52B" w14:textId="745D8A39"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32BB37A2" w14:textId="438CA8A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5352007E" w14:textId="062E5FD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UBND tỉnh chấp thuận chủ trương đầu tư (cấp lần đầu) Dự án Khu đô thị Hiệp Hòa tại phường Hiệp Hòa, thành phố Biên Hòa quy định </w:t>
            </w:r>
            <w:r w:rsidRPr="00E24264">
              <w:rPr>
                <w:rFonts w:ascii="Times New Roman" w:eastAsia="Times New Roman" w:hAnsi="Times New Roman" w:cs="Times New Roman"/>
                <w:i/>
                <w:sz w:val="20"/>
                <w:szCs w:val="20"/>
              </w:rPr>
              <w:t>"Tổng diện tích dự kiến chiếm 20% tổng diện tích đất ở của dự án (không bao gồm đất nhà ở tái định cư); dành cho các đối tượng NOXH theo quy định NOXH"</w:t>
            </w:r>
            <w:r w:rsidRPr="00E24264">
              <w:rPr>
                <w:rFonts w:ascii="Times New Roman" w:eastAsia="Times New Roman" w:hAnsi="Times New Roman" w:cs="Times New Roman"/>
                <w:sz w:val="20"/>
                <w:szCs w:val="20"/>
              </w:rPr>
              <w:t xml:space="preserve"> chưa đúng quy định tại khoản 4 Điều 1 Nghị định số 49/2021/NĐ-CP ngày 01/4/2021 của Chính phủ.</w:t>
            </w:r>
          </w:p>
        </w:tc>
        <w:tc>
          <w:tcPr>
            <w:tcW w:w="3827" w:type="dxa"/>
          </w:tcPr>
          <w:p w14:paraId="3C1F80C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nghị UBND Tỉnh:</w:t>
            </w:r>
          </w:p>
          <w:p w14:paraId="0BE9B5EC" w14:textId="1F9C9C60"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 khoản 4 Điều 1 Quyết định số 479/QĐ-UBND ngày 23/3/2023 của UBND tỉnh chấp thuận chủ trương đầu tư (cấp lần đầu) Dự án Khu đô thị Hiệp Hòa tại phường Hiệp Hòa, thành phố Biên Hòa quy định "Tổng diện tích dự kiến chiếm 20% tổng diện tích đất ở của dự án (không bao gồm đất nhà ở tái định cư); dành cho các đối tượng NOXH theo quy định NOXH" chưa đúng quy định tại khoản 4 Điều 1 Nghị định số 49/2021/NĐ-CP ngày 01/4/2021 của Chính phủ.</w:t>
            </w:r>
          </w:p>
        </w:tc>
        <w:tc>
          <w:tcPr>
            <w:tcW w:w="2126" w:type="dxa"/>
          </w:tcPr>
          <w:p w14:paraId="1FF4D18A" w14:textId="5627E44B"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Đồng Nai và các Chuyên đề lồng ghép</w:t>
            </w:r>
          </w:p>
        </w:tc>
      </w:tr>
      <w:tr w:rsidR="00A40329" w:rsidRPr="00E24264" w14:paraId="1FDB0533" w14:textId="77777777" w:rsidTr="00A40329">
        <w:trPr>
          <w:cantSplit/>
          <w:trHeight w:val="231"/>
        </w:trPr>
        <w:tc>
          <w:tcPr>
            <w:tcW w:w="559" w:type="dxa"/>
          </w:tcPr>
          <w:p w14:paraId="132E940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CF0F248" w14:textId="5302433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Đồng Nai</w:t>
            </w:r>
          </w:p>
        </w:tc>
        <w:tc>
          <w:tcPr>
            <w:tcW w:w="851" w:type="dxa"/>
          </w:tcPr>
          <w:p w14:paraId="428BA107" w14:textId="18D94A55"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01AD608A" w14:textId="63055EF1"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735D3D2F" w14:textId="60182901"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Đồng Nai không xây dựng, ban hành kế hoạch triển khai phát triển nhà ở, NOXH hàng năm để thực hiện chỉ tiêu Kế hoạch phát triển nhà ở, NOXH giai đoạn 2021- 2025 (10.000 căn) mà chỉ xác định kế hoạch số lượng NOXH dự kiến hoàn thành vào hệ thống chỉ tiêu phát triển kinh tế xã hội hàng năm của địa phương là chưa thực hiện chỉ đạo tại điểm b khoản 2 mục III Quyết định số 338/QĐ-TTg ngày 03/4/2023 Thủ tướng Chính phủ.</w:t>
            </w:r>
          </w:p>
        </w:tc>
        <w:tc>
          <w:tcPr>
            <w:tcW w:w="3827" w:type="dxa"/>
          </w:tcPr>
          <w:p w14:paraId="19E9E2F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nghị UBND Tỉnh:</w:t>
            </w:r>
          </w:p>
          <w:p w14:paraId="5B0136FA" w14:textId="3CB49171"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Xây dựng, ban hành kế hoạch phát triển nhà ở, NOXH hàng năm để cụ thể hóa chỉ tiêu triển khai thực hiện hàng năm của Kế hoạch phát triển nhà ở, NOXH giai đoạn 2021- 2025 theo chỉ đạo của Thủ tướng Chính phủ tại điểm b khoản 2 mục III Quyết định số 338/QĐ-TTg.</w:t>
            </w:r>
          </w:p>
        </w:tc>
        <w:tc>
          <w:tcPr>
            <w:tcW w:w="2126" w:type="dxa"/>
          </w:tcPr>
          <w:p w14:paraId="58A6EBD0" w14:textId="763C7DFB"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Đồng Nai và các Chuyên đề lồng ghép</w:t>
            </w:r>
          </w:p>
        </w:tc>
      </w:tr>
      <w:tr w:rsidR="00A40329" w:rsidRPr="00E24264" w14:paraId="612EBE42" w14:textId="77777777" w:rsidTr="00A40329">
        <w:trPr>
          <w:cantSplit/>
          <w:trHeight w:val="231"/>
        </w:trPr>
        <w:tc>
          <w:tcPr>
            <w:tcW w:w="559" w:type="dxa"/>
          </w:tcPr>
          <w:p w14:paraId="612EBE3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3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Khoa học và Công nghệ</w:t>
            </w:r>
          </w:p>
        </w:tc>
        <w:tc>
          <w:tcPr>
            <w:tcW w:w="851" w:type="dxa"/>
          </w:tcPr>
          <w:p w14:paraId="612EBE3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3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3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Trước thời điểm Bộ TT&amp;TT ban hành Quyết định số 671/QĐ-BTTTT ngày 26/4/2024, việc xác định chi phí chỉ căn cứ vào công văn hướng dẫn số 2589/BTT&amp;TT-ƯDCNTT ngày 24/8/2011 của Bộ TT&amp;TT không phải là văn bản quy phạm pháp luật nên chưa có tính pháp lý để điều chỉnh khi có sai sót trong việc áp dụng.</w:t>
            </w:r>
          </w:p>
        </w:tc>
        <w:tc>
          <w:tcPr>
            <w:tcW w:w="3827" w:type="dxa"/>
          </w:tcPr>
          <w:p w14:paraId="612EBE3E"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Có hướng dẫn hoặc ví dụ cụ thể cho một số quy định tại Quyết định số 671/QĐ-BTTTT ngày 26/4/2024 của Bộ trưởng Bộ TTTT: đối với một số use-case hoặc giao dịch thông dụng, mức độ BMT; đối với bậc kỹ sư tương ứng với mức độ khó của phần mềm,... làm cơ sở cho việc lập dự toán ứng dụng CNTT được rõ ràng, dễ thực hiện</w:t>
            </w:r>
          </w:p>
        </w:tc>
        <w:tc>
          <w:tcPr>
            <w:tcW w:w="2126" w:type="dxa"/>
          </w:tcPr>
          <w:p w14:paraId="612EBE3F"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Đồng Nai và các Chuyên đề lồng ghép</w:t>
            </w:r>
          </w:p>
        </w:tc>
      </w:tr>
      <w:tr w:rsidR="00A40329" w:rsidRPr="00E24264" w14:paraId="612EBE4C" w14:textId="77777777" w:rsidTr="00A40329">
        <w:trPr>
          <w:cantSplit/>
          <w:trHeight w:val="231"/>
        </w:trPr>
        <w:tc>
          <w:tcPr>
            <w:tcW w:w="559" w:type="dxa"/>
          </w:tcPr>
          <w:p w14:paraId="612EBE4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4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thành phố Hà Nội</w:t>
            </w:r>
          </w:p>
        </w:tc>
        <w:tc>
          <w:tcPr>
            <w:tcW w:w="851" w:type="dxa"/>
          </w:tcPr>
          <w:p w14:paraId="612EBE4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4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E4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bookmarkStart w:id="6" w:name="_b983pewn3qnh" w:colFirst="0" w:colLast="0"/>
            <w:bookmarkEnd w:id="6"/>
            <w:r w:rsidRPr="00E24264">
              <w:rPr>
                <w:rFonts w:ascii="Times New Roman" w:eastAsia="Times New Roman" w:hAnsi="Times New Roman" w:cs="Times New Roman"/>
                <w:sz w:val="20"/>
                <w:szCs w:val="20"/>
              </w:rPr>
              <w:t>Thành phố thực hiện chi 4.757,5trđ từ nguồn kinh phí thường xuyên hỗ trợ tiền thuê đất năm 2024 cho Công ty TNHH MTV khai thác điểm đỗ xe Hà Nội</w:t>
            </w:r>
            <w:r w:rsidRPr="00E24264">
              <w:rPr>
                <w:rFonts w:ascii="Times New Roman" w:eastAsia="Times New Roman" w:hAnsi="Times New Roman" w:cs="Times New Roman"/>
                <w:sz w:val="20"/>
                <w:szCs w:val="20"/>
                <w:vertAlign w:val="superscript"/>
              </w:rPr>
              <w:footnoteReference w:id="2"/>
            </w:r>
            <w:r w:rsidRPr="00E24264">
              <w:rPr>
                <w:rFonts w:ascii="Times New Roman" w:eastAsia="Times New Roman" w:hAnsi="Times New Roman" w:cs="Times New Roman"/>
                <w:sz w:val="20"/>
                <w:szCs w:val="20"/>
              </w:rPr>
              <w:t xml:space="preserve"> không đúng nguồn kinh phí</w:t>
            </w:r>
            <w:r w:rsidRPr="00E24264">
              <w:rPr>
                <w:rFonts w:ascii="Times New Roman" w:eastAsia="Times New Roman" w:hAnsi="Times New Roman" w:cs="Times New Roman"/>
                <w:sz w:val="20"/>
                <w:szCs w:val="20"/>
                <w:vertAlign w:val="superscript"/>
              </w:rPr>
              <w:footnoteReference w:id="3"/>
            </w:r>
            <w:r w:rsidRPr="00E24264">
              <w:rPr>
                <w:rFonts w:ascii="Times New Roman" w:eastAsia="Times New Roman" w:hAnsi="Times New Roman" w:cs="Times New Roman"/>
                <w:sz w:val="20"/>
                <w:szCs w:val="20"/>
              </w:rPr>
              <w:t xml:space="preserve"> và chưa phù hợp với quy định về đối tượng đầu tư công tại Điều 5 Luật Đầu tư công 2019 và Điều 5 Luật Đầu tư công 2024</w:t>
            </w:r>
            <w:r w:rsidRPr="00E24264">
              <w:rPr>
                <w:rFonts w:ascii="Times New Roman" w:eastAsia="Times New Roman" w:hAnsi="Times New Roman" w:cs="Times New Roman"/>
                <w:sz w:val="20"/>
                <w:szCs w:val="20"/>
                <w:vertAlign w:val="superscript"/>
              </w:rPr>
              <w:footnoteReference w:id="4"/>
            </w:r>
            <w:r w:rsidRPr="00E24264">
              <w:rPr>
                <w:rFonts w:ascii="Times New Roman" w:eastAsia="Times New Roman" w:hAnsi="Times New Roman" w:cs="Times New Roman"/>
                <w:sz w:val="20"/>
                <w:szCs w:val="20"/>
              </w:rPr>
              <w:t>.</w:t>
            </w:r>
          </w:p>
        </w:tc>
        <w:tc>
          <w:tcPr>
            <w:tcW w:w="3827" w:type="dxa"/>
          </w:tcPr>
          <w:p w14:paraId="612EBE48"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quy định tại khoản 1 Điều 8 Nghị quyết số 07/2019/NQ-HĐND ngày 10/7/2019 của HĐND Thành phố về việc ưu tiên phát triển hệ thống vận tải hành khách công cộng khối lượng lớn; khuyến khích đầu tư xây dựng, khai thác bến xe, bãi đỗ xe ô tô và các phương tiện cơ giới khác; áp dụng công nghệ cao trong quản lý, điều hành hệ thống giao thông vận tải "Đối với trường hợp các dự án đã phê duyệt và đang triển khai áp dụng theo cơ chế chính sách được quy định tại Nghị Quyết số 03/2013/NQ-HĐND ngày 12/7/2013 thì tiếp tục thực hiện theo cơ chế, chính sách đã được cấp có thẩm quyền phê duyệt" cho phù hợp với quy định tại Điều 5 Luật Đầu tư công năm 2024.</w:t>
            </w:r>
          </w:p>
        </w:tc>
        <w:tc>
          <w:tcPr>
            <w:tcW w:w="2126" w:type="dxa"/>
          </w:tcPr>
          <w:p w14:paraId="612EBE49"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thành phố Hà Nội</w:t>
            </w:r>
          </w:p>
        </w:tc>
      </w:tr>
      <w:tr w:rsidR="00A40329" w:rsidRPr="00E24264" w14:paraId="612EBE58" w14:textId="77777777" w:rsidTr="00A40329">
        <w:trPr>
          <w:cantSplit/>
          <w:trHeight w:val="231"/>
        </w:trPr>
        <w:tc>
          <w:tcPr>
            <w:tcW w:w="559" w:type="dxa"/>
          </w:tcPr>
          <w:p w14:paraId="612EBE4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4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Hòa Bình</w:t>
            </w:r>
          </w:p>
        </w:tc>
        <w:tc>
          <w:tcPr>
            <w:tcW w:w="851" w:type="dxa"/>
          </w:tcPr>
          <w:p w14:paraId="612EBE4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5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E51"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Hòa Bình chưa điều chỉnh, sửa đổi, bổ sung Nghị quyết số 183/2022/NQ-HĐND ngày 20/10/2022 Ban hành Quy định cơ chế lồng ghép nguồn vốn các Chương trình mục tiêu quốc gia, giữa các Chương trình mục tiêu quốc gia và các chương trình dự án khác trên địa bàn tỉnh Hòa Bình, giai đoạn 2021-2025 để phù hợp với quy định Nghị định 38/2023/NĐ-CP ngày 24/6/2023 của Chính phủ sửa đổi, bổ sung một số điều của Nghị định số 27/2022/NĐ-CP ngày 19 tháng 4 năm 2022 của Chính phủ quy định cơ chế quản lý, tổ chức thực hiện các Chương trình mục tiêu quốc gia. Cụ thể:</w:t>
            </w:r>
          </w:p>
          <w:p w14:paraId="612EBE52"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(i) Nguyên tắc lồng ghép tại Điều 2, Quy định Cơ chế lồng ghép nguồn vốn các Chương trình mục tiêu quốc gia, giữa các Chương trình mục tiêu mục tiêu quốc gia và các chương trình, dự án khác </w:t>
            </w:r>
            <w:r w:rsidRPr="00E24264">
              <w:rPr>
                <w:rFonts w:ascii="Times New Roman" w:eastAsia="Times New Roman" w:hAnsi="Times New Roman" w:cs="Times New Roman"/>
                <w:sz w:val="20"/>
                <w:szCs w:val="20"/>
              </w:rPr>
              <w:lastRenderedPageBreak/>
              <w:t>trên địa bàn tỉnh Hòa Bình giai đoạn 2021-2025 ban hành kèm theo Nghị quyết số 183/2022/NQ-HĐND nêu trên được căn cứ vào khoản 1, Điều 10 , Nghị định số 27/2022/NĐ-CP ngày 19/4/2022 của Chính phủ về Quy định cơ chế quản lý, tổ chức thực hiện các Chương trình mục tiêu quốc gia.</w:t>
            </w:r>
          </w:p>
          <w:p w14:paraId="612EBE53"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(ii) Khoản 1, Điều 10, Nghị định số 27/2022/NĐ-CP nêu trên được sửa đổi, bổ sung tại khoản 6, Điều 1, Nghị định 38/2023/NĐ-CP ngày 24/6/2023 của Chính phủ.</w:t>
            </w:r>
          </w:p>
        </w:tc>
        <w:tc>
          <w:tcPr>
            <w:tcW w:w="3827" w:type="dxa"/>
          </w:tcPr>
          <w:p w14:paraId="612EBE54" w14:textId="7DC9229D"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Rà soát, sửa đổi, bổ sung Quy định cơ chế lồng ghép nguồn vốn các Chương trình mục tiêu quốc gia, giữa các Chương trình mục tiêu quốc gia và các chương trình dự án khác trên địa bàn tỉnh Hòa Bình trước khi hợp nhất, giai đoạn 2021-2025 để phù hợp với quy định Nghị định 38/2023/NĐ-CP ngày 24/6/2023 của Chính phủ sửa đổi, bổ sung một số điều của Nghị định số 27/2022/NĐ-CP ngày 19/4/2022 của Chính phủ.</w:t>
            </w:r>
          </w:p>
        </w:tc>
        <w:tc>
          <w:tcPr>
            <w:tcW w:w="2126" w:type="dxa"/>
          </w:tcPr>
          <w:p w14:paraId="612EBE55"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Báo cáo quyết toán ngân sách địa phương năm 2024 và Chuyên đề MTQG xây dựng nông thôn mới giai đoạn 2021-2025 của tỉnh Hòa Bình</w:t>
            </w:r>
          </w:p>
        </w:tc>
      </w:tr>
      <w:tr w:rsidR="00A40329" w:rsidRPr="00E24264" w14:paraId="612EBE64" w14:textId="77777777" w:rsidTr="00A40329">
        <w:trPr>
          <w:cantSplit/>
          <w:trHeight w:val="231"/>
        </w:trPr>
        <w:tc>
          <w:tcPr>
            <w:tcW w:w="559" w:type="dxa"/>
          </w:tcPr>
          <w:p w14:paraId="612EBE5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5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Hà Nội</w:t>
            </w:r>
          </w:p>
        </w:tc>
        <w:tc>
          <w:tcPr>
            <w:tcW w:w="851" w:type="dxa"/>
          </w:tcPr>
          <w:p w14:paraId="612EBE5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 Quyết định</w:t>
            </w:r>
          </w:p>
        </w:tc>
        <w:tc>
          <w:tcPr>
            <w:tcW w:w="851" w:type="dxa"/>
          </w:tcPr>
          <w:p w14:paraId="612EBE5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w:t>
            </w:r>
          </w:p>
        </w:tc>
        <w:tc>
          <w:tcPr>
            <w:tcW w:w="5672" w:type="dxa"/>
          </w:tcPr>
          <w:p w14:paraId="612EBE5D"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Tại thời điểm kiểm toán, còn một số nội dung theo quy định của Luật Đất đai 2024 và các Nghị định hướng dẫn thi hành chưa được UBND, HĐND ban hành các quy định, hướng dẫn thực hiện cụ thể trên địa bàn như: (i) Chính sách của địa phương về đất đai đối với đồng bào dân tộc thiểu số sinh sống trên địa bàn theo khoản 6 Điều 16 Luật Đất đai số 31/2024/QH15; (ii) Quy định về hạn mức giao đất chưa sử dụng cho cá nhân đưa vào sử dụng theo quy hoạch, kế hoạch sử dụng đất đã được cơ quan có thẩm quyền phê duyệt theo khoản 5 Điều 176 của Luật Đất đai số 31/2024/QH15; (iii) Quy định hạn mức và quyết định diện tích đất giao cho tổ chức tôn giáo, tổ chức tôn giáo trực thuộc trên địa bàn theo khoản 4 Điều 213 của Luật Đất đai số 31/2024/QH15; (iv) Quy định tiêu chí cụ thể để xác định vị trí đối với từng loại đất, số lượng vị trí đất trong bảng giá đất theo Khoản 2 Điều 20 Nghị định số 71/2024/NĐ-CP; (v) quy định về giá cung cấp dịch vụ công theo điểm b khoản 4 Điều 13 Nghị định số 102/2024/NĐ-CP; (vi) Quy chế phối hợp thực hiện chức năng, nhiệm vụ, quyền hạn giữa Văn phòng đăng ký đất đai, Chi nhánh Văn phòng đăng ký đất đai với cơ quan có chức năng quản lý đất đai cấp huyện, Ủy ban nhân dân cấp huyện, cơ quan tài chính, cơ quan thuế và các cơ quan, đơn vị khác có liên quan theo khoản 6 Điều 13 Nghị định số 102/2024/NĐ-CP; (vii) Quy chế phối hợp thực hiện chức năng, nhiệm vụ, quyền hạn giữa Trung tâm phát triển quỹ đất cấp tỉnh, Trung tâm phát triển quỹ đất cấp huyện với cơ quan có chức năng quản lý đất đai ở địa phương, cơ quan tài chính và cơ quan, đơn vị khác có liên quan theo Khoản 6 Điều 14 Nghị định số 102/2024/NĐ-CP…</w:t>
            </w:r>
          </w:p>
          <w:p w14:paraId="612EBE5E"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Quyết định 55/2024/QĐ-UBND ngày 06/9/2024 của UBND thành phố Hà Nội còn có các bất cập như: (i) Thiếu quy định cụ thể về cách thức điều chỉnh đối với từng mức độ chênh lệch của từng yếu tố ảnh hưởng đến giá đất theo đúng yêu cầu tại khoản 3 Điều 8 Nghị định số 71/2024/NĐ-CP ngày 27/6/2024 (chỉ có quy định về mức điều chỉnh tối đa); (ii) Quy định mức độ điều chỉnh sự khác biệt </w:t>
            </w:r>
            <w:r w:rsidRPr="00E24264">
              <w:rPr>
                <w:rFonts w:ascii="Times New Roman" w:eastAsia="Times New Roman" w:hAnsi="Times New Roman" w:cs="Times New Roman"/>
                <w:sz w:val="20"/>
                <w:szCs w:val="20"/>
              </w:rPr>
              <w:lastRenderedPageBreak/>
              <w:t>của yếu tố “Vị trí, địa điểm của thửa đất, khu đất” tối đa (bằng 20%)  là không đảm bảo hợp lý, không tương xứng với mức độ ảnh hưởng của yếu tố vị trí, địa điểm trong giá trị của ô đất, nhất là trong điều kiện chưa có các quy định để đảm bảo việc lựa chọn Tài sản so sánh đảm bảo tính tương đồng nhất định; (iii) Chưa có các quy định cụ thể về một số nội dung cần thiết trong định giá đất, như: quy định về cách xác định số lượt đỗ xe khi xác định doanh thu phát triển của các ô đất, tầng hầm làm bãi đỗ xe; hướng dẫn chi tiết về tính tương đồng trong lựa chọn các tài sản so sánh; quy định về lợi thế của các ô, thửa đất, căn hộ ở vị trí góc, tiếp giáp nhiều mặt thoáng, căn hộ là Penhouse…</w:t>
            </w:r>
          </w:p>
        </w:tc>
        <w:tc>
          <w:tcPr>
            <w:tcW w:w="3827" w:type="dxa"/>
          </w:tcPr>
          <w:p w14:paraId="612EBE5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UBND thành phố Hà Nội chỉ đạo thực hiện rà soát, kịp thời ban hành bổ sung các quy định để quản lý, sử dụng đất trên địa bàn theo quy định của Luật Đất đai 2024 và các Nghị định hướng dẫn thi hành, mà đến thời điểm kiểm toán chưa được ban hành, như: chính sách của địa phương về đất đai đối với đồng bào dân tộc thiểu số sinh sống trên địa bàn theo khoản 6 Điều 16 Luật Đất đai 2024; quy định về hạn mức giao đất chưa sử dụng cho cá nhân đưa vào sử dụng theo quy hoạch, kế hoạch sử dụng đất đã được cơ quan có thẩm quyền phê duyệt theo khoản 5 Điều 176 Luật Đất đai; quy định hạn mức và quyết định diện tích đất giao cho tổ chức tôn giáo, tổ chức tôn giáo trực thuộc trên địa bàn theo khoản 4 Điều 213 Luật Đất đai, …</w:t>
            </w:r>
          </w:p>
          <w:p w14:paraId="612EBE60"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UBND thành phố Hà Nội thực hiện việc rà soát lại các quy định tại Quyết định 55/2024/QĐ-UBND ngày 06/9/2024 quy định một số nội dung thuộc thẩm quyền của UBND Thành phố về xác định giá đất cụ thể trên địa bàn thành phố Hà Nội, để kịp thời bổ sung các nội dung còn thiếu để khắc phục các hạn chế như: (i) Thiếu quy định cụ thể về cách thức điều chỉnh đối với từng mức độ chênh lệch của từng yếu tố ảnh hưởng đến giá đất theo quy định tại khoản 3 Điều 8 Nghị định số 71/2024/NĐ-CP ngày 27/6/2024 của Chính phủ (chỉ có quy định về mức điều chỉnh tối đa); (ii) Quy định mức độ điều chỉnh sự khác biệt của yếu tố “Vị trí, địa điểm của </w:t>
            </w:r>
            <w:r w:rsidRPr="00E24264">
              <w:rPr>
                <w:rFonts w:ascii="Times New Roman" w:eastAsia="Times New Roman" w:hAnsi="Times New Roman" w:cs="Times New Roman"/>
                <w:sz w:val="20"/>
                <w:szCs w:val="20"/>
              </w:rPr>
              <w:lastRenderedPageBreak/>
              <w:t>thửa đất, khu đất” tối đa (bằng 20%)  là không đảm bảo hợp lý, không tương xứng với mức độ ảnh hưởng của yếu tố vị trí, địa điểm trong giá trị của ô đất, nhất là trong điều kiện chưa có các quy định để đảm bảo việc lựa chọn Tài sản so sánh đảm bảo tính tương đồng nhất định; (iii) Chưa có các quy định cụ thể về một số nội dung cần thiết trong định giá đất, như: quy định về cách xác định số lượt đỗ xe khi xác định doanh thu phát triển của các ô đất, tầng hầm làm bãi đỗ xe; hướng dẫn chi tiết về tính tương đồng trong lựa chọn các tài sản so sánh; quy định về lợi thế của các ô, thửa đất, căn hộ ở vị trí góc, tiếp giáp nhiều mặt thoáng, căn hộ là Penhouse…</w:t>
            </w:r>
          </w:p>
        </w:tc>
        <w:tc>
          <w:tcPr>
            <w:tcW w:w="2126" w:type="dxa"/>
          </w:tcPr>
          <w:p w14:paraId="612EBE61"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chấp hành các quy định pháp luật về quản lý, sử dụng đất trên địa bàn một số quận, huyện” thuộc thành phố Hà Nội</w:t>
            </w:r>
          </w:p>
        </w:tc>
      </w:tr>
      <w:tr w:rsidR="00A40329" w:rsidRPr="00E24264" w14:paraId="612EBE6E" w14:textId="77777777" w:rsidTr="00A40329">
        <w:trPr>
          <w:cantSplit/>
          <w:trHeight w:val="231"/>
        </w:trPr>
        <w:tc>
          <w:tcPr>
            <w:tcW w:w="559" w:type="dxa"/>
          </w:tcPr>
          <w:p w14:paraId="612EBE6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6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Xây dựng</w:t>
            </w:r>
          </w:p>
        </w:tc>
        <w:tc>
          <w:tcPr>
            <w:tcW w:w="851" w:type="dxa"/>
          </w:tcPr>
          <w:p w14:paraId="612EBE6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E6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E6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 số 510/QĐ-BXD ngày 19/5/2023 của Bộ Xây dựng còn có hạn chế như: không có quy định về suất đầu tư cho khu đô thị có quy mô &gt;200ha  (suất vốn đầu tư các năm sau đó được ban hành tại quyết định số 816/QĐ-BXD ngày 22/8/2024 và số 409/QĐ-BXD ngày 11/4/2025 cũng không có quy định về nội dung này). Theo thường lệ công bố suất vốn đầu tư, diện tích khu đô thị càng lớn hơn thì giá trị suất đầu tư sẽ nhỏ hơn. Suất vốn đầu tư đối với khu đô thị có quy mô đến 200ha đang được quy định là 7.179trđ/ha, do vậy suất vốn đầu tư đối với khu đô thị lớn hơn 200ha có xu hướng sẽ nhỏ hơn 7.179trđ/ha. Các dự án được kiểm tra có quy mô lớn hơn 200ha đang áp suất đầu tư của loại khu đô thị có quy mô đến 200ha (mức thấp nhất theo quyết định). Do đó những dự án đất đô thị có diện tích trên 200ha, có xu hướng sẽ làm giảm thu NSNN khi áp dụng suất vốn đầu tư theo quyết định đã ban hành, mặc dù đã áp dụng ở mức thấp nhất theo quyết định được công bố.</w:t>
            </w:r>
          </w:p>
        </w:tc>
        <w:tc>
          <w:tcPr>
            <w:tcW w:w="3827" w:type="dxa"/>
          </w:tcPr>
          <w:p w14:paraId="612EBE6A"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nghị Bộ Xây dựng xem xét sửa đổi Quyết định số 510/QĐ-BXD ngày 19/5/2023 về công bố Suất vốn đầu tư xây dựng công trình và giá xây dựng tổng hợp bộ phận kết cấu công trình năm 2022 và các quyết định công bố Suất vốn đầu tư xây dựng công trình các năm sau đó, trong đó quy định về suất vốn đầu tư cho khu đô thị có quy mô &gt;200ha do chưa có hướng dẫn về nội dung này nhưng thực tế đã có phát sinh qua các dự án được kiểm tra.</w:t>
            </w:r>
          </w:p>
        </w:tc>
        <w:tc>
          <w:tcPr>
            <w:tcW w:w="2126" w:type="dxa"/>
          </w:tcPr>
          <w:p w14:paraId="612EBE6B"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chấp hành các quy định pháp luật về quản lý, sử dụng đất trên địa bàn một số quận, huyện” thuộc thành phố Hà Nội</w:t>
            </w:r>
          </w:p>
        </w:tc>
      </w:tr>
      <w:tr w:rsidR="00A40329" w:rsidRPr="00E24264" w14:paraId="612EBE7A" w14:textId="77777777" w:rsidTr="00A40329">
        <w:trPr>
          <w:cantSplit/>
          <w:trHeight w:val="231"/>
        </w:trPr>
        <w:tc>
          <w:tcPr>
            <w:tcW w:w="559" w:type="dxa"/>
          </w:tcPr>
          <w:p w14:paraId="612EBE6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7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Quảng Bình</w:t>
            </w:r>
          </w:p>
        </w:tc>
        <w:tc>
          <w:tcPr>
            <w:tcW w:w="851" w:type="dxa"/>
          </w:tcPr>
          <w:p w14:paraId="612EBE7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7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73"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UBND tỉnh Quảng Bình chưa ban hành quy định cụ thể thời gian thẩm định quyết toán ngân sách của cơ quan tài chính cho các đơn vị dự toán cấp I các cấp ở địa phương theo quy định tại điểm c khoản 2 Điều 27 của Thông tư số 342/2016/TT-BTC.</w:t>
            </w:r>
          </w:p>
          <w:p w14:paraId="612EBE74"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Theo quy định tại khoản 3 Điều 30 Nghị định số 08/2025/NĐ-CP  ngày 9/01/2025 của Chính phủ quy định việc quản lý, sử dụng và khai thác tài sản kết cấu hạ tầng thủy lợi quy định Ủy ban nhân dân cấp tỉnh ban hành quy định về phân cấp thẩm quyền quyết định xử lý tài sản kết cấu hạ tầng thủy lợi, phê duyệt kế hoạch bảo trì tài sản kết cấu hạ tầng thủy lợi, không còn giao cho Hội đồng nhân dân tỉnh phân cấp… Tuy nhiên, tại các Điều 24; 25; 26; 27; 28; 29 của </w:t>
            </w:r>
            <w:r w:rsidRPr="00E24264">
              <w:rPr>
                <w:rFonts w:ascii="Times New Roman" w:eastAsia="Times New Roman" w:hAnsi="Times New Roman" w:cs="Times New Roman"/>
                <w:sz w:val="20"/>
                <w:szCs w:val="20"/>
              </w:rPr>
              <w:lastRenderedPageBreak/>
              <w:t>mục 4 phân cấp thẩm quyền quản lý tài sản kết cấu hạ tầng thủy lợi theo Nghị quyết số 36/2022/NQ-HĐND ngày 10/12/2022 của Hội đồng nhân dân tỉnh Quảng Bình là chưa phù hợp với khoản 3 Điều 30 Nghị định số 08/2025/NĐ-CP ngày 9/01/2025 của Chính phủ.</w:t>
            </w:r>
          </w:p>
        </w:tc>
        <w:tc>
          <w:tcPr>
            <w:tcW w:w="3827" w:type="dxa"/>
          </w:tcPr>
          <w:p w14:paraId="612EBE7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UBND tỉnh chỉ đạo Sở Tài chính phối hợp với các đơn vị có liên quan tham mưu UBND tỉnh ban hành quy định cụ thể thời gian thẩm định quyết toán ngân sách của cơ quan tài chính cho các đơn vị dự toán cấp I các cấp ở địa phương theo quy định.</w:t>
            </w:r>
          </w:p>
          <w:p w14:paraId="612EBE76"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UBND tỉnh chỉ đạo cơ quan chuyên môn tham mưu cấp có thẩm quyền kịp thời ban hành quy định về phân cấp thẩm quyền quyết định xử lý tài sản kết cấu hạ tầng thủy lợi, phê </w:t>
            </w:r>
            <w:r w:rsidRPr="00E24264">
              <w:rPr>
                <w:rFonts w:ascii="Times New Roman" w:eastAsia="Times New Roman" w:hAnsi="Times New Roman" w:cs="Times New Roman"/>
                <w:sz w:val="20"/>
                <w:szCs w:val="20"/>
              </w:rPr>
              <w:lastRenderedPageBreak/>
              <w:t>duyệt kế hoạch bảo trì tài sản kết cấu hạ tầng thủy lợi.</w:t>
            </w:r>
          </w:p>
        </w:tc>
        <w:tc>
          <w:tcPr>
            <w:tcW w:w="2126" w:type="dxa"/>
          </w:tcPr>
          <w:p w14:paraId="612EBE77"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quyết toán ngân sách địa phương năm 2024 của các tỉnh Quảng Bình</w:t>
            </w:r>
          </w:p>
        </w:tc>
      </w:tr>
      <w:tr w:rsidR="00A40329" w:rsidRPr="00E24264" w14:paraId="612EBE84" w14:textId="77777777" w:rsidTr="00A40329">
        <w:trPr>
          <w:cantSplit/>
          <w:trHeight w:val="231"/>
        </w:trPr>
        <w:tc>
          <w:tcPr>
            <w:tcW w:w="559" w:type="dxa"/>
          </w:tcPr>
          <w:p w14:paraId="612EBE7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7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Quảng Bình</w:t>
            </w:r>
          </w:p>
        </w:tc>
        <w:tc>
          <w:tcPr>
            <w:tcW w:w="851" w:type="dxa"/>
          </w:tcPr>
          <w:p w14:paraId="612EBE7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7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E7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khoản 3 Điều 30 Nghị định số 08/2025/NĐ-CP  ngày 9/01/2025 của Chính phủ quy định việc quản lý, sử dụng và khai thác tài sản kết cấu hạ tầng thủy lợi quy định Ủy ban nhân dân cấp tỉnh ban hành quy định về phân cấp thẩm quyền quyết định xử lý tài sản kết cấu hạ tầng thủy lợi, phê duyệt kế hoạch bảo trì tài sản kết cấu hạ tầng thủy lợi, không còn giao cho Hội đồng nhân dân tỉnh phân cấp… Tuy nhiên, tại các Điều 24; 25; 26; 27; 28; 29 của mục 4 phân cấp thẩm quyền quản lý tài sản kết cấu hạ tầng thủy lợi theo Nghị quyết số 36/2022/NQ-HĐND ngày 10/12/2022 của Hội đồng nhân dân tỉnh Quảng Bình là chưa phù hợp với khoản 3 Điều 30 Nghị định số 08/2025/NĐ-CP ngày 9/01/2025 của Chính phủ.</w:t>
            </w:r>
          </w:p>
        </w:tc>
        <w:tc>
          <w:tcPr>
            <w:tcW w:w="3827" w:type="dxa"/>
          </w:tcPr>
          <w:p w14:paraId="612EBE80"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nghị HĐND tỉnh Quảng Bình (nay là HĐND tỉnh Quảng Trị) kịp thời sửa đổi, bổ sung Nghị quyết số 36/2022/NQ-HĐND ngày 10/12/2022 của Hội đồng nhân dân tỉnh theo quy định.</w:t>
            </w:r>
          </w:p>
        </w:tc>
        <w:tc>
          <w:tcPr>
            <w:tcW w:w="2126" w:type="dxa"/>
          </w:tcPr>
          <w:p w14:paraId="612EBE81"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Báo cáo quyết toán ngân sách địa phương năm 2024 của các tỉnh Quảng Bình</w:t>
            </w:r>
          </w:p>
        </w:tc>
      </w:tr>
      <w:tr w:rsidR="00A40329" w:rsidRPr="00E24264" w14:paraId="612EBE8E" w14:textId="77777777" w:rsidTr="00A40329">
        <w:trPr>
          <w:cantSplit/>
          <w:trHeight w:val="231"/>
        </w:trPr>
        <w:tc>
          <w:tcPr>
            <w:tcW w:w="559" w:type="dxa"/>
          </w:tcPr>
          <w:p w14:paraId="612EBE8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8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thành phố Huế</w:t>
            </w:r>
          </w:p>
        </w:tc>
        <w:tc>
          <w:tcPr>
            <w:tcW w:w="851" w:type="dxa"/>
          </w:tcPr>
          <w:p w14:paraId="612EBE8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8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8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chưa trình HĐND tỉnh ban hành quy định về việc phân định cụ thể các nhiệm vụ chi về bảo vệ môi trường thuộc trách nhiệm của địa phương  theo quy định tại khoản 2 Điều 1 Thông tư số 31/2023/TT-BTC ngày 25/5/2023 của Bộ Tài chính sửa đổi, bổ sung một số điều của Thông tư số 02/2017/TT-BTC ngày 06/1/2017 của Bộ Tài chính hướng dẫn quản lý kinh phí sự nghiệp bảo vệ môi trường.</w:t>
            </w:r>
          </w:p>
        </w:tc>
        <w:tc>
          <w:tcPr>
            <w:tcW w:w="3827" w:type="dxa"/>
          </w:tcPr>
          <w:p w14:paraId="612EBE8A"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quy định về việc phân định cụ thể các nhiệm vụ chi về bảo vệ môi trường thuộc trách nhiệm của địa phương theo quy định tại khoản 2 Điều 1 Thông tư số 31/2023/TT-BTC ngày 25/5/2023.</w:t>
            </w:r>
          </w:p>
        </w:tc>
        <w:tc>
          <w:tcPr>
            <w:tcW w:w="2126" w:type="dxa"/>
          </w:tcPr>
          <w:p w14:paraId="612EBE8B"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BCQT NSĐP năm 2024 của tỉnh Thừa Thiên Huế</w:t>
            </w:r>
          </w:p>
        </w:tc>
      </w:tr>
      <w:tr w:rsidR="00A40329" w:rsidRPr="00E24264" w14:paraId="612EBE98" w14:textId="77777777" w:rsidTr="00A40329">
        <w:trPr>
          <w:cantSplit/>
          <w:trHeight w:val="231"/>
        </w:trPr>
        <w:tc>
          <w:tcPr>
            <w:tcW w:w="559" w:type="dxa"/>
          </w:tcPr>
          <w:p w14:paraId="612EBE8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9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Huế</w:t>
            </w:r>
          </w:p>
        </w:tc>
        <w:tc>
          <w:tcPr>
            <w:tcW w:w="851" w:type="dxa"/>
          </w:tcPr>
          <w:p w14:paraId="612EBE91"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9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w:t>
            </w:r>
          </w:p>
        </w:tc>
        <w:tc>
          <w:tcPr>
            <w:tcW w:w="5672" w:type="dxa"/>
          </w:tcPr>
          <w:p w14:paraId="612EBE93"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chưa ban hành định mức, giá xử lý chất thải rắn trên địa bàn theo quy định tại Khoản 7 Điều 73 Luật Giá 2023.</w:t>
            </w:r>
          </w:p>
        </w:tc>
        <w:tc>
          <w:tcPr>
            <w:tcW w:w="3827" w:type="dxa"/>
          </w:tcPr>
          <w:p w14:paraId="612EBE9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định mức, giá xử lý chất thải rắn trên địa bàn theo quy định tại Khoản 7 Điều 73 Luật Giá 2023.</w:t>
            </w:r>
          </w:p>
        </w:tc>
        <w:tc>
          <w:tcPr>
            <w:tcW w:w="2126" w:type="dxa"/>
          </w:tcPr>
          <w:p w14:paraId="612EBE95"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BCQT NSĐP năm 2024 của tỉnh Thừa Thiên Huế</w:t>
            </w:r>
          </w:p>
        </w:tc>
      </w:tr>
      <w:tr w:rsidR="00A40329" w:rsidRPr="00E24264" w14:paraId="612EBEA6" w14:textId="77777777" w:rsidTr="00A40329">
        <w:trPr>
          <w:cantSplit/>
          <w:trHeight w:val="231"/>
        </w:trPr>
        <w:tc>
          <w:tcPr>
            <w:tcW w:w="559" w:type="dxa"/>
          </w:tcPr>
          <w:p w14:paraId="612EBE9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9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Huế</w:t>
            </w:r>
          </w:p>
        </w:tc>
        <w:tc>
          <w:tcPr>
            <w:tcW w:w="851" w:type="dxa"/>
          </w:tcPr>
          <w:p w14:paraId="612EBE9B"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9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9D"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UBND thành phố chưa ban hành các chính sách ưu đãi và khuyến khích cụ thể đối với việc ưu tiên tuyển dụng và sử dụng lao động tại chỗ, lao động có chuyên môn cao, tay nghề giỏi; hỗ trợ đào tạo nghề đối với người lao động làm việc trong khu công nghiệp, khu kinh tế; ban hành điều kiện và tiêu chí đối với các doanh nghiệp, nhà đầu tư được ưu tiên thuê đất, thuê lại đất theo quy định tại Khoản 4 Điều 66 Nghị định số 35/2022/NĐ-CP của Chính phủ.</w:t>
            </w:r>
          </w:p>
          <w:p w14:paraId="612EBE9E"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Ban Quản lý KKT, CN thành phố chưa thực hiện xây dựng các khung giá và mức phí, lệ phí áp dụng tại khu kinh tế trình cơ quan nhà nước có thẩm quyền ban hành theo quy định của pháp luật theo quy định tại Khoản 2 Điều 69 Nghị định số 35/2022/NĐ-CP ngày 28/5/2022 .</w:t>
            </w:r>
          </w:p>
          <w:p w14:paraId="612EBE9F" w14:textId="5A743EEB"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(3) UBND thành phố Huế chưa ban hành khung Giá cho thuê nhà lưu trú công nhân trong khu công nghiệp theo quy định tại Điều 99 Luật Nhà ở 2023.</w:t>
            </w:r>
          </w:p>
        </w:tc>
        <w:tc>
          <w:tcPr>
            <w:tcW w:w="3827" w:type="dxa"/>
          </w:tcPr>
          <w:p w14:paraId="612EBEA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Ban hành các chính sách ưu đãi và khuyến khích cụ thể đối với việc ưu tiên tuyển dụng và sử dụng lao động tại chỗ, lao động có chuyên môn cao, tay nghề giỏi; hỗ trợ đào tạo nghề đối với người lao động làm việc trong khu công nghiệp, khu kinh tế; ban hành điều kiện và tiêu chí đối với các doanh nghiệp, nhà đầu tư được ưu tiên thuê đất, thuê lại đất theo quy định tại khoản 4 Điều 66 Nghị định số 35/2022/NĐ-CP của Chính phủ.</w:t>
            </w:r>
          </w:p>
          <w:p w14:paraId="612EBEA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Ban hành văn bản quy định khung giá và mức phí, lệ phí áp dụng tại khu kinh tế theo quy định của pháp luật theo quy định tại </w:t>
            </w:r>
            <w:r w:rsidRPr="00E24264">
              <w:rPr>
                <w:rFonts w:ascii="Times New Roman" w:eastAsia="Times New Roman" w:hAnsi="Times New Roman" w:cs="Times New Roman"/>
                <w:sz w:val="20"/>
                <w:szCs w:val="20"/>
              </w:rPr>
              <w:lastRenderedPageBreak/>
              <w:t>khoản 2 Điều 69 Nghị định số 35/2022/NĐ-CP.</w:t>
            </w:r>
          </w:p>
          <w:p w14:paraId="612EBEA2"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(3) Ban hành khung giá cho thuê nhà lưu trú công nhân trong khu công nghiệp theo quy định tại Điều 99 Luật Nhà ở 2023.</w:t>
            </w:r>
          </w:p>
        </w:tc>
        <w:tc>
          <w:tcPr>
            <w:tcW w:w="2126" w:type="dxa"/>
          </w:tcPr>
          <w:p w14:paraId="612EBEA3"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thực hiện các chính sách ưu đãi đầu tư tại khu kinh tế, khu công nghiệp giai đoạn 2022-2024 tại tỉnh Thừa Thiên Huế; Chuyên đề việc điều tiết, quản lý và sử dụng nguồn thu tiền sử dụng đất để đầu tư phát triển kinh tế xã hội giai đoạn 2022-2024 theo Nghị quyết của HĐND tỉnh tại tỉnh Thừa Thiên Huế</w:t>
            </w:r>
          </w:p>
        </w:tc>
      </w:tr>
      <w:tr w:rsidR="00A40329" w:rsidRPr="00E24264" w14:paraId="612EBEB0" w14:textId="77777777" w:rsidTr="00A40329">
        <w:trPr>
          <w:cantSplit/>
          <w:trHeight w:val="231"/>
        </w:trPr>
        <w:tc>
          <w:tcPr>
            <w:tcW w:w="559" w:type="dxa"/>
          </w:tcPr>
          <w:p w14:paraId="612EBEA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A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Đà Nẵng</w:t>
            </w:r>
          </w:p>
        </w:tc>
        <w:tc>
          <w:tcPr>
            <w:tcW w:w="851" w:type="dxa"/>
          </w:tcPr>
          <w:p w14:paraId="612EBEA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EA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EA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UBND thành phố Đà Nẵng ban hành Quyết định 34/2020/QĐ-UBND ngày 28/9/2020 quy định xe ô tô bán tải thuộc Danh mục xe ô tô chuyên dùng (tại Mục B Phụ lục I Quyết định 34/2020/QĐ-UBND) không còn phù hợp theo quy định tại Điều 16 Nghị định số 72/2023/NĐ-CP ngày 26/9/2023 của Chính phủ (xe ô tô bán tải thuộc Xe ôtô phục vụ công tác chung quy định tại khoản 1 Điều 8 Mục 2 Nghị định số 72/2023/NĐ-CP). Do đó, quận Hải Châu có 13 xe ô tô bán tải được sử dụng vào xe ô tô chuyên dùng.</w:t>
            </w:r>
          </w:p>
        </w:tc>
        <w:tc>
          <w:tcPr>
            <w:tcW w:w="3827" w:type="dxa"/>
          </w:tcPr>
          <w:p w14:paraId="612EBEAC"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Sửa đổi Mục B Phụ lục I Quyết định 34/2020/QĐ-UBND quy định xe ô tô bán tải thuộc danh mục xe ô tô chuyên dùng không còn phù hợp theo quy định tại Điều 16 Nghị định số 72/2023/NĐ-CP ngày 26/9/2023 của Chính phủ.</w:t>
            </w:r>
          </w:p>
        </w:tc>
        <w:tc>
          <w:tcPr>
            <w:tcW w:w="2126" w:type="dxa"/>
          </w:tcPr>
          <w:p w14:paraId="612EBEAD"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và báo cáo quyết toán ngân sách địa phương năm 2024 của thành phố Đà Nẵng; Chuyên đề việc đầu tư, ứng dụng phần mềm công nghệ thông tin, các hoạt động thuê dịch vụ công nghệ thông tin phục vụ chuyển đổi số tại thành phố Đà Nẵng giai đoạn 2021-2024</w:t>
            </w:r>
          </w:p>
        </w:tc>
      </w:tr>
      <w:tr w:rsidR="00A40329" w:rsidRPr="00E24264" w14:paraId="612EBEBA" w14:textId="77777777" w:rsidTr="00A40329">
        <w:trPr>
          <w:cantSplit/>
          <w:trHeight w:val="231"/>
        </w:trPr>
        <w:tc>
          <w:tcPr>
            <w:tcW w:w="559" w:type="dxa"/>
          </w:tcPr>
          <w:p w14:paraId="612EBEB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B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Thành phố Hồ Chí Minh</w:t>
            </w:r>
          </w:p>
        </w:tc>
        <w:tc>
          <w:tcPr>
            <w:tcW w:w="851" w:type="dxa"/>
          </w:tcPr>
          <w:p w14:paraId="612EBEB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Nghị quyết</w:t>
            </w:r>
          </w:p>
        </w:tc>
        <w:tc>
          <w:tcPr>
            <w:tcW w:w="851" w:type="dxa"/>
          </w:tcPr>
          <w:p w14:paraId="612EBEB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w:t>
            </w:r>
          </w:p>
        </w:tc>
        <w:tc>
          <w:tcPr>
            <w:tcW w:w="5672" w:type="dxa"/>
          </w:tcPr>
          <w:p w14:paraId="612EBEB5"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án sắp xếp đơn vị hành chính cấp huyện, cấp xã trên địa bàn Thành phố giai đoạn 2023-2030 đã được HĐND Thành phố thông qua tại Nghị quyết số 46/NQ-HĐND ngày 17/7/2024 về việc tán thành chủ trương sắp xếp đơn vị hành chính cấp xã giai đoạn 2023-2030, đã được Quốc hội thông qua tại Nghị quyết số 1278/NQ-UBTVQH15 ngày 14/11/2024 về việc sắp xếp đơn vị hành chính cấp xã của Thành phố giai đoạn 2023-2025 hiện không còn phù hợp do đã bỏ chính quyền cấp huyện.</w:t>
            </w:r>
          </w:p>
        </w:tc>
        <w:tc>
          <w:tcPr>
            <w:tcW w:w="3827" w:type="dxa"/>
          </w:tcPr>
          <w:p w14:paraId="612EBEB6"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Xem xét bãi bỏ Nghị quyết số 46/NQ-HĐND ngày 17/7/2024 về việc tán thành chủ trương sắp xếp đơn vị hành chính cấp xã giai đoạn 2023-2030 của Thành phố Hồ Chí Minh do Nghị quyết này không còn hiệu lực.</w:t>
            </w:r>
          </w:p>
        </w:tc>
        <w:tc>
          <w:tcPr>
            <w:tcW w:w="2126" w:type="dxa"/>
          </w:tcPr>
          <w:p w14:paraId="612EBEB7"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và Báo cáo quyết toán NSĐP năm 2024 của Thành phố Hồ Chí Minh</w:t>
            </w:r>
          </w:p>
        </w:tc>
      </w:tr>
      <w:tr w:rsidR="00A40329" w:rsidRPr="00E24264" w14:paraId="612EBEC6" w14:textId="77777777" w:rsidTr="00A40329">
        <w:trPr>
          <w:cantSplit/>
          <w:trHeight w:val="231"/>
        </w:trPr>
        <w:tc>
          <w:tcPr>
            <w:tcW w:w="559" w:type="dxa"/>
          </w:tcPr>
          <w:p w14:paraId="612EBEB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BC"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Hồ Chí Minh</w:t>
            </w:r>
          </w:p>
        </w:tc>
        <w:tc>
          <w:tcPr>
            <w:tcW w:w="851" w:type="dxa"/>
          </w:tcPr>
          <w:p w14:paraId="612EBEBD"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 văn bản khác</w:t>
            </w:r>
          </w:p>
        </w:tc>
        <w:tc>
          <w:tcPr>
            <w:tcW w:w="851" w:type="dxa"/>
          </w:tcPr>
          <w:p w14:paraId="612EBEB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Ban hành, sửa đổi, </w:t>
            </w:r>
          </w:p>
        </w:tc>
        <w:tc>
          <w:tcPr>
            <w:tcW w:w="5672" w:type="dxa"/>
          </w:tcPr>
          <w:p w14:paraId="71854D39"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Đối với Quyết định số 65/2024/QĐ-UBND ngày 20/9/2024 của Thành phố quy định về công tác thi đua, khen thưởng: Thư khen của Chủ tịch UBND Thành phố là 1 trong 6 hình thức khen thưởng, tuy nhiên tại khoản 2 Điều 15 của Quyết định này chỉ quy định “2. Thư khen của Chủ tịch UBND Thành phố không kèm theo tiền thưởng” nhưng chưa quy định cụ thể rõ đối với trường hợp khen thưởng là Thư khen kèm tặng phẩm lưu niệm để đảm bảo có đầy đủ cơ sở pháp lý để thực hiện (nếu có) và phù hợp với quy định tương tự tại khoản 3 Điều 52 Nghị định số 98/2023/NĐ-CP ngày 31/12/2023 của Chính phủ.</w:t>
            </w:r>
          </w:p>
          <w:p w14:paraId="612EBEC0" w14:textId="7DBA5CC1"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Đối với các khoản hỗ trợ cho các tổ chức tôn giáo, chức sắc, chức việc tôn giáo : UBND Thành phố giao dự toán và quyết toán số tiền 2.395 trđ theo mức hỗ trợ chi tối đa quy định tại Điều 3 Quyết định số 10/2014/QĐ-TTg ngày 24/01/2014 của Thủ tướng Chính phủ về hỗ trợ kinh phí từ NSNN cho tổ chức, chức sắc, chức việc tôn giáo </w:t>
            </w:r>
            <w:r w:rsidRPr="00E24264">
              <w:rPr>
                <w:rFonts w:ascii="Times New Roman" w:eastAsia="Times New Roman" w:hAnsi="Times New Roman" w:cs="Times New Roman"/>
                <w:sz w:val="20"/>
                <w:szCs w:val="20"/>
              </w:rPr>
              <w:lastRenderedPageBreak/>
              <w:t>tại Việt Nam. Tuy nhiên, theo quy định tại điểm e khoản 2 Điều 3  và khoản 3 Điều 4  Quyết định số 10/2014/QĐ-TTg thì mức chi hỗ trợ này do Chủ tịch UBND Thành phố trình HĐND để quyết định, đến thời điểm hiện nay Thành phố chưa có văn bản quy định cụ thể về mức chi hỗ trợ.</w:t>
            </w:r>
          </w:p>
        </w:tc>
        <w:tc>
          <w:tcPr>
            <w:tcW w:w="3827" w:type="dxa"/>
          </w:tcPr>
          <w:p w14:paraId="612EBEC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Xem xét, sửa đổi bổ sung quy định tại khoản 2 Điều 15 Quyết định số 65/2024/QĐ-UBND ngày 20/9/2024 của Thành phố Hồ Chí Minh quy định về công tác thi đua, khen thưởng tại Thành phố Hồ Chí Minh để đảm bảo có đầy đủ cơ sở pháp lý để thực hiện trong trường hợp khen thưởng theo hình thức Thư khen của Chủ tịch UBND Thành phố có kèm tặng phẩm và phù hợp với quy định tương tự tại khoản 3 Điều 52 Nghị định số 98/2023/NĐ-CP ngày 31/12/2023 của Chính phủ quy định chi tiết thi hành một số điều của Luật Thi đua, khen thưởng.</w:t>
            </w:r>
          </w:p>
          <w:p w14:paraId="612EBEC2"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Trình HĐND Thành phố thông qua Nghị quyết về hỗ trợ kinh phí từ ngân sách nhà </w:t>
            </w:r>
            <w:r w:rsidRPr="00E24264">
              <w:rPr>
                <w:rFonts w:ascii="Times New Roman" w:eastAsia="Times New Roman" w:hAnsi="Times New Roman" w:cs="Times New Roman"/>
                <w:sz w:val="20"/>
                <w:szCs w:val="20"/>
              </w:rPr>
              <w:lastRenderedPageBreak/>
              <w:t>nước cho tổ chức, chức sắc, chức việc tôn giáo tại Thành phố Hồ Chí Minh theo quy định tại Quyết định số 10/2014/QĐ-TTg ngày 24/01/2014 của Thủ tướng Chính phủ về hỗ trợ kinh phí từ NSNN cho tổ chức, chức sắc, chức việc tôn giáo tại Việt Nam.1</w:t>
            </w:r>
          </w:p>
        </w:tc>
        <w:tc>
          <w:tcPr>
            <w:tcW w:w="2126" w:type="dxa"/>
          </w:tcPr>
          <w:p w14:paraId="612EBEC3"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Ngân sách địa phương và Báo cáo quyết toán NSĐP năm 2024 của Thành phố Hồ Chí Minh</w:t>
            </w:r>
          </w:p>
        </w:tc>
      </w:tr>
      <w:tr w:rsidR="00A40329" w:rsidRPr="00E24264" w14:paraId="6F3DC771" w14:textId="77777777" w:rsidTr="00A40329">
        <w:trPr>
          <w:cantSplit/>
          <w:trHeight w:val="231"/>
        </w:trPr>
        <w:tc>
          <w:tcPr>
            <w:tcW w:w="559" w:type="dxa"/>
          </w:tcPr>
          <w:p w14:paraId="431D871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ED50CBF" w14:textId="540B923B"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UBND tỉnh Bắc Giang</w:t>
            </w:r>
          </w:p>
        </w:tc>
        <w:tc>
          <w:tcPr>
            <w:tcW w:w="851" w:type="dxa"/>
          </w:tcPr>
          <w:p w14:paraId="2E56D17B" w14:textId="5AF5B92C"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Văn bản khác</w:t>
            </w:r>
          </w:p>
        </w:tc>
        <w:tc>
          <w:tcPr>
            <w:tcW w:w="851" w:type="dxa"/>
          </w:tcPr>
          <w:p w14:paraId="53AF2A35" w14:textId="1FCDC1BA"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Ban hành</w:t>
            </w:r>
          </w:p>
        </w:tc>
        <w:tc>
          <w:tcPr>
            <w:tcW w:w="5672" w:type="dxa"/>
          </w:tcPr>
          <w:p w14:paraId="01F31AE2" w14:textId="338DAFE6"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Sở Tài nguyên và Môi trường (trước khi sáp nhập) và Sở Nông nghiệp và Môi trường chưa tham mưu UBND tỉnh Bắc Giang ban hành quy định giá cụ thể đối với dịch vụ thu gom, vận chuyển và xử lý chất thải rắn sinh hoạt của địa phương theo quy định tại khoản 6 Điều 79 Luật BVMT số 72/2020/QH14 ngày 17/11/2020; được sửa đổi tại khoản 7 Điều 73 và Phụ lục số 02 Luật Giá số 16/2023/QH15 ngày 19/6/2023.</w:t>
            </w:r>
          </w:p>
        </w:tc>
        <w:tc>
          <w:tcPr>
            <w:tcW w:w="3827" w:type="dxa"/>
          </w:tcPr>
          <w:p w14:paraId="665B0B98" w14:textId="5DA1CE4A"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Đề nghị UBND tỉnh Bắc Ninh xem xét thực hiện ban hành giá dịch vụ thu gom, vận chuyển và xử lý chất thải rắn sinh hoạt theo quy định tại khoản 6 Điều 79 Luật BVMT số 72/2020/QH14, được sửa đổi bổ sung tại khoản 7 Điều 73 Luật Giá số 13/2023/QH15.</w:t>
            </w:r>
          </w:p>
        </w:tc>
        <w:tc>
          <w:tcPr>
            <w:tcW w:w="2126" w:type="dxa"/>
          </w:tcPr>
          <w:p w14:paraId="4DD8A89A" w14:textId="2373CE84"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Chuyên đề Việc quản lý, sử dụng kinh phí bảo vệ môi trường và ứng phó với biến đổi khí hậu giai đoạn 2021-2024 tại tỉnh Bắc Giang</w:t>
            </w:r>
          </w:p>
        </w:tc>
      </w:tr>
      <w:tr w:rsidR="00A40329" w:rsidRPr="00E24264" w14:paraId="612EBED5" w14:textId="77777777" w:rsidTr="00A40329">
        <w:trPr>
          <w:cantSplit/>
          <w:trHeight w:val="231"/>
        </w:trPr>
        <w:tc>
          <w:tcPr>
            <w:tcW w:w="559" w:type="dxa"/>
          </w:tcPr>
          <w:p w14:paraId="612EBEC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C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Bắc Giang</w:t>
            </w:r>
          </w:p>
        </w:tc>
        <w:tc>
          <w:tcPr>
            <w:tcW w:w="851" w:type="dxa"/>
          </w:tcPr>
          <w:p w14:paraId="612EBEC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w:t>
            </w:r>
          </w:p>
        </w:tc>
        <w:tc>
          <w:tcPr>
            <w:tcW w:w="851" w:type="dxa"/>
          </w:tcPr>
          <w:p w14:paraId="612EBEC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sửa đổi</w:t>
            </w:r>
          </w:p>
        </w:tc>
        <w:tc>
          <w:tcPr>
            <w:tcW w:w="5672" w:type="dxa"/>
          </w:tcPr>
          <w:p w14:paraId="612EBECB"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Việc quy định trách nhiệm Sở Xây dựng “rà soát, tham mưu UBND tỉnh điều chỉnh, công bố định mức kinh tế, kỹ thuật, đơn giá về thu gom, vận chuyển và phê duyệt phương án giá xử lý chất thải rắn sinh hoạt trên địa bàn tỉnh” theo quy định tại Quyết định số 25/2021/QĐ-UBND ngày 01/7/2021 của UBND tỉnh Bắc Giang không còn phù hợp với các quy định hiện hành.</w:t>
            </w:r>
          </w:p>
          <w:p w14:paraId="612EBECC"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Sở Tài nguyên và Môi trường (trước khi sáp nhập) và Sở Nông nghiệp và Môi trường chưa tham mưu UBND tỉnh Bắc Giang ban hành quy định giá cụ thể đối với dịch vụ thu gom, vận chuyển và xử lý chất thải rắn sinh hoạt của địa phương theo quy định tại khoản 6 Điều 79 Luật BVMT số 72/2020/QH14 ngày 17/11/2020; được sửa đổi tại khoản 7 Điều 73 và Phụ lục số 02 Luật Giá số 16/2023/QH15 ngày 19/6/2023.</w:t>
            </w:r>
          </w:p>
          <w:p w14:paraId="612EBEC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(3)  Sở Tài chính căn cứ vào khoản 1  Điều 13 Luật tổ chức chính quyền địa phương số 77/2015/QH13 ngày 19/6/2015; khoản 1  Điều 16 Luật Giá số 16/2023/QH15 ngày 19/6/2023 tham mưu UBND tỉnh Bắc Giang ban hành Quyết định số 35/2024/QĐ-UBND quy định một số nội dung quản lý nhà nước về giá và hoạt động thẩm định giá của nhà nước trên địa bàn tỉnh Bắc Giang, trong đó quy định tại Điều 6 phân cấp cho UBND cấp huyện định giá cụ thể Dịch vụ thu gom, vận chuyển, xử lý chất thải rắn sinh hoạt. Tuy nhiên: theo quy định tại khoản 4 Điều 16 Luật Giá số 16/2023/QH15, quy định nhiệm vụ quyền hạn của UBND cấp tỉnh “Định giá hàng hóa, dịch vụ thuộc thẩm quyền theo quy định tại Danh mục hàng hóa, dịch vụ do Nhà nước định giá”, khoản 3 Điều 21 quy định thẩm quyền, trách </w:t>
            </w:r>
            <w:r w:rsidRPr="00E24264">
              <w:rPr>
                <w:rFonts w:ascii="Times New Roman" w:eastAsia="Times New Roman" w:hAnsi="Times New Roman" w:cs="Times New Roman"/>
                <w:sz w:val="20"/>
                <w:szCs w:val="20"/>
              </w:rPr>
              <w:lastRenderedPageBreak/>
              <w:t xml:space="preserve">nhiệm định giá “d) Ủy ban nhân dân cấp tỉnh định giá đối với hàng hóa, dịch vụ theo thẩm quyền thuộc phạm vi quản lý theo địa bàn”; khoản 4 Điều 23 quy định “Danh mục hàng hóa, dịch vụ do Nhà nước định giá, hình thức định giá và thẩm quyền, trách nhiệm định giá được quy định tại Phụ lục số 02 kèm theo Luật này...”, trong đó đối với dịch vụ thu gom, vận chuyển, xử lý chất thải rắn sinh hoạt trong Danh mục hàng hóa, dịch vụ do Nhà nước định giá quy định tại Phụ lục số 02 Luật Giá số 16/2023/QH15 “Ủy ban nhân dân cấp tỉnh định giá tối đa áp dụng đối với chủ đầu tư, cơ sở thu gom, vận chuyển và xử lý chất thải rắn sinh hoạt; định giá cụ thể đối với cơ quan, tổ chức, cơ sở sản xuất, kinh doanh, dịch vụ, khu sản xuất, kinh doanh, dịch vụ tập trung, cụm công nghiệp, hộ gia đình, cá nhân”. Theo quy định tại Điều 63 Nghị định số 08/2022/NĐ-CP ngày 10/01/2022 của Chính phủ quy định chi tiết một số điều của Luật BVMT về trách nhiệm của UBND các cấp trong quản lý chất thải rắn sinh hoạt, trong đó quy định trách nhiệm của UBND tỉnh tại điểm a khoản 1 cụ thể: “1. Ủy ban nhân dân cấp tỉnh có trách nhiệm sau: a) Thực hiện trách nhiệm quy định tại khoản 2 và khoản 6 Điều 75, khoản 2 Điều 76, khoản 1 Điều 77, khoản 2 và khoản 6 Điều 78, khoản 6 Điều 79, khoản 5 Điều 80 Luật BVMT”. Theo quy định tại khoản 6 Điều 79 Luật BVMT: “Ủy ban nhân dân cấp tỉnh quy định chi tiết về quản lý chất thải rắn sinh hoạt của hộ gia đình, cá nhân trên địa bàn; quy định giá cụ thể đối với dịch vụ thu gom, vận chuyển và xử lý chất thải rắn sinh hoạt; quy định cụ thể hình thức và mức kinh phí hộ gia đình, cá nhân phải chi trả cho công tác thu gom, vận chuyển và xử lý chất thải rắn sinh hoạt dựa trên khối lượng hoặc thể tích chất thải đã được phân loại”. Mặt khác theo quy định tại điểm b khoản 2 Điều 10 Nghị định số 85/2024/NĐ-CP ngày 10/7/2024 của Chính phủ quy định chi tiết một số điều của Luật Giá, quy định về thẩm định phương án giá “Ủy ban nhân dân cấp tỉnh phân công cơ quan, đơn vị chuyên môn trực thuộc theo chức năng, nhiệm vụ về quản lý ngành, lĩnh vực của hàng hóa, dịch vụ hoặc cơ quan hành chính cấp dưới theo địa bàn quản lý thực hiện việc thẩm định phương án giá, đảm bảo phù hợp với yêu cầu công tác quản lý nhà nước về giá tại địa phương”; khoản 5 Điều 11 quy định trình và ban hành văn bản định giá “Văn bản định giá, điều chỉnh mức giá do Thủ tướng Chính phủ, bộ, cơ quan ngang bộ, Ủy ban nhân dân cấp tỉnh ban hành dưới dạng thông báo hoặc quyết định hành chính phù hợp với tính chất của việc định giá”. Từ những quy định trên cho thấy việc thẩm định phương án giá thuộc trách nhiệm của các cơ quan, đơn vị chuyên môn trực thuộc hoặc cơ quan hành chính cấp dưới theo sự </w:t>
            </w:r>
            <w:r w:rsidRPr="00E24264">
              <w:rPr>
                <w:rFonts w:ascii="Times New Roman" w:eastAsia="Times New Roman" w:hAnsi="Times New Roman" w:cs="Times New Roman"/>
                <w:sz w:val="20"/>
                <w:szCs w:val="20"/>
              </w:rPr>
              <w:lastRenderedPageBreak/>
              <w:t>phân công của UBND tỉnh; thẩm quyền xác định, ban hành giá cụ thể dịch vụ thu gom, vận chuyển và xử lý chất thải rắn sinh hoạt tại địa phương thuộc thẩm quyền của UBND tỉnh Bắc Giang.</w:t>
            </w:r>
          </w:p>
        </w:tc>
        <w:tc>
          <w:tcPr>
            <w:tcW w:w="3827" w:type="dxa"/>
          </w:tcPr>
          <w:p w14:paraId="612EBEC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Đề nghị UBND tỉnh Bắc Ninh xem xét ban hành sửa đổi một số quy định tại các văn bản như sau:</w:t>
            </w:r>
          </w:p>
          <w:p w14:paraId="612EBEC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Quy định tại Điểm d khoản 2 Điều 15 Quyết định số 25/2021/QĐ-UBND ngày 01/7/2021 của UBND tỉnh Bắc Giang về quy định quản lý chất thải rắn sinh hoạt trên địa bàn tỉnh Bắc Giang để đảm bảo phù hợp với quy định tại Nghị định số 107/2020/NĐ-CP ngày 14/9/2020 của Chính phủ, được sửa đổi thay thế bằng Nghị định số 45/2025/NĐ-CP ngày 28/02/2025 của Chính phủ; Luật BVMT số 72/2020/QH14; Thông tư số 36/2024/TT-BTNMT ngày 20/12/2024 của Bộ Tài nguyên và Môi trường.</w:t>
            </w:r>
          </w:p>
          <w:p w14:paraId="612EBED0"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Quy định tại khoản 4 Điều 2 Quyết định số 39/2021/QĐ-UBND ngày 19/8/2021 về ban hành quy định giá tối đa dịch vụ thu gom, vận chuyển, xử lý chất thải rắn sinh hoạt trên địa bàn tỉnh Bắc Giang để đảm bảo phù hợp với quy định tại khoản 6 Điều 79 Luật BVMT số 72/2020/QH14 ngày 17/11/2020, được sửa đổi tại khoản 7 Điều 73 Luật Giá số 16/2023/QH15 ngày 19/6/2023.</w:t>
            </w:r>
          </w:p>
          <w:p w14:paraId="612EBED1"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(3) Quy định tại Điều 6 Quyết định số 35/2024/QĐ-UBND của UBND tỉnh Bắc </w:t>
            </w:r>
            <w:r w:rsidRPr="00E24264">
              <w:rPr>
                <w:rFonts w:ascii="Times New Roman" w:eastAsia="Times New Roman" w:hAnsi="Times New Roman" w:cs="Times New Roman"/>
                <w:sz w:val="20"/>
                <w:szCs w:val="20"/>
              </w:rPr>
              <w:lastRenderedPageBreak/>
              <w:t>Giang quy định một số nội dung quản lý nhà nước về giá và hoạt động thẩm định giá của nhà nước trên địa bàn tỉnh Bắc Giang để đảm bảo phù hợp với quy định tại Luật BVMT số 72/2020/QH14; Luật Giá số 16/2023/QH15; Nghị định số 85/2024/NĐ-CP ngày 10/7/2024 của Chính phủ.</w:t>
            </w:r>
          </w:p>
        </w:tc>
        <w:tc>
          <w:tcPr>
            <w:tcW w:w="2126" w:type="dxa"/>
          </w:tcPr>
          <w:p w14:paraId="612EBED2"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Chuyên đề Việc quản lý, sử dụng kinh phí bảo vệ môi trường và ứng phó với biến đổi khí hậu giai đoạn 2021-2024 tại tỉnh Bắc Giang</w:t>
            </w:r>
          </w:p>
        </w:tc>
      </w:tr>
      <w:tr w:rsidR="00A40329" w:rsidRPr="00E24264" w14:paraId="612EBEE2" w14:textId="77777777" w:rsidTr="00A40329">
        <w:trPr>
          <w:cantSplit/>
          <w:trHeight w:val="231"/>
        </w:trPr>
        <w:tc>
          <w:tcPr>
            <w:tcW w:w="559" w:type="dxa"/>
          </w:tcPr>
          <w:p w14:paraId="612EBED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D7"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Khoa học và Công nghệ</w:t>
            </w:r>
          </w:p>
        </w:tc>
        <w:tc>
          <w:tcPr>
            <w:tcW w:w="851" w:type="dxa"/>
          </w:tcPr>
          <w:p w14:paraId="612EBED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D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DA"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Giá nhân công tại Quyết định số 129/QĐ-BTTTT có sự khác biệt (cao hơn nhiều) so với giá nhân công quy định đối với các nhiệm vụ chi ứng dụng CNTT thuộc lĩnh vực chi thường xuyên tại Thông tư số 136/2017/TT-BTC của Bộ Tài chính, cụ thể tại Thông tư số 136/2017/TT-BTC quy định chi phí nhân công chỉ tính theo lương cơ sở, trong khi quy định tại Quyết định số 129/QĐ-BTTTT cho phép cộng thêm hệ số điều chỉnh theo vùng, dẫn đến việc áp dụng không đồng nhất giá nhân công trong chi phí đầu tư, ứng dụng CNTT . Mặt khác, qua kiểm toán cho thấy việc quy định giá nhân công được điều chỉnh lương theo vùng là chưa hợp lý, do dự án đầu tư ứng dụng CNTT được đấu thầu rộng rãi và không cần phải sử dụng lao động trực tiếp tại địa phương, dẫn đến cùng một ứng dụng CNTT, nhưng nếu lập dự toán ở địa bàn vùng I sẽ có mức chi phí cao hơn rất nhiều so với vùng IV). </w:t>
            </w:r>
          </w:p>
          <w:p w14:paraId="612EBEDB"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Khoản mục các khoản đóng góp theo lương (BHXH, BHYT, KPCĐ, BHTN) kết cấu trong giá nhân công nêu tại Quyết định số 129/QĐ-BTTTT của Bộ TT và TT chỉ hướng dẫn chung là "xác định theo quy định của pháp luật", mà không hướng dẫn cụ thể các khoản đóng góp được tính theo lương cấp bậc, chức vụ (hệ số lương cấp bậc x lương cơ sở) hay theo lương sau khi điều chỉnh (hệ số lương cấp bậc x lương cơ sở x (1 + hệ số điều chỉnh) .</w:t>
            </w:r>
          </w:p>
          <w:p w14:paraId="612EBEDC"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Mức lương lao động theo giờ công áp dụng cho các phần mềm phụ thuộc chủ quan của đơn vị lập dự toán, trong đó có phần mềm áp dụng mức trung bình kỹ sư bậc 1/8 và bậc 2/8 (bậc 1,5/8), có phần mềm áp dụng kỹ sư bậc 2/8. Tuy nhiên, chưa có quy định cụ thể hoặc các văn bản hướng dẫn của Bộ TT và TT trong việc xác định bậc kỹ sư để thực hiện hạng mục khi xác định dự toán giá trị phần mềm. Trong khi, chi phí xây dựng phần mềm chủ yếu là chi phí nhân công, do đó việc áp dụng bậc kỹ sư sẽ có ảnh hưởng rất lớn đến chi phí phần mềm.</w:t>
            </w:r>
          </w:p>
          <w:p w14:paraId="612EBEDD" w14:textId="77777777"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Ngoài ra, qua kiểm toán nhận thấy có sự phức tạp và tính chủ quan trong phương pháp xác định chi phí phần mềm nội bộ. Cụ thể, trước thời điểm Bộ TT và TT ban hành Quyết định số 671/QĐ-BTTTT ngày 26/4/2024, việc xác định chi phí chỉ căn cứ vào Công văn số 2589/BTT&amp;TT-ƯDCNTT ngày 24/8/2011 của Bộ TT và TT không phải là văn bản quy phạm pháp luật; trong đó một số thuật ngữ chuyên môn như use-case, giao dịch,... còn định tính, lại không có các ví dụ cụ thể, trong khi đó việc xác định số lượng use-case, mức </w:t>
            </w:r>
            <w:r w:rsidRPr="00E24264">
              <w:rPr>
                <w:rFonts w:ascii="Times New Roman" w:eastAsia="Times New Roman" w:hAnsi="Times New Roman" w:cs="Times New Roman"/>
                <w:sz w:val="20"/>
                <w:szCs w:val="20"/>
              </w:rPr>
              <w:lastRenderedPageBreak/>
              <w:t>độ phức tạp lại ảnh hưởng lớn đến giá trị phần mềm (như theo Công văn số 2589/BTTTT-ƯDCNTT ngày 24/8/2011 của Bộ TTTT, giao dịch (transaction) là "một chuỗi các hành động có tính chất tương tác giữa tác nhân và hệ thống phần mềm, khởi đầu của chuỗi hành động này là một hành động từ tác nhân tới hệ thống và kết thúc của chuỗi hành động này là một hành động ngược trở lại của hệ thống lên tác nhân", trong khi đó giao dịch trong use-case của phần mềm thường được mô tả theo chức năng thực hiện các công việc, mà chưa cho thấy được các yếu tố tương tác của tác nhân với hệ thống ở khởi đầu và kết thúc, dẫn đến khó đánh giá việc xác định một giao dịch là phù hợp với hướng dẫn tại Công văn số 2589/BTTTT-ƯDCNTT).</w:t>
            </w:r>
          </w:p>
        </w:tc>
        <w:tc>
          <w:tcPr>
            <w:tcW w:w="3827" w:type="dxa"/>
          </w:tcPr>
          <w:p w14:paraId="612EBEDE"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Có hướng dẫn (hoặc quy định) cụ thể đối với khoản mục "Các chi phí bảo hiểm xã hội, bảo hiểm y tế, bảo hiểm thất nghiệp, kinh phí công đoàn thuộc trách nhiệm đóng của người sử dụng lao động theo quy định của pháp luật" (chỉ tiêu BHLĐ trong công thức xác định "Giá ngày công của nhân công trực tiếp" quy định tại Quyết định số 320/QĐ-BKHCN) được tính trên mức lương cơ sở (MLCS) hay mức lương đã bao gồm hệ số điều chỉnh tăng thêm tiền lương (MLCS x (1+ HĐC)); có ví dụ cụ thể cho một số quy định tại Quyết định số 671/QĐ-BTTTT đối với một số use-case hoặc giao dịch thông dụng, mức độ BMT, kỹ sư tương ứng với mức độ khó của phần mềm,... làm cơ sở cho việc lập dự toán đầu tư ứng dụng CNTT được rõ ràng, dễ thực hiện.</w:t>
            </w:r>
          </w:p>
        </w:tc>
        <w:tc>
          <w:tcPr>
            <w:tcW w:w="2126" w:type="dxa"/>
          </w:tcPr>
          <w:p w14:paraId="612EBEDF"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giai đoạn 2021 - 2024 tại tỉnh Bình Phước</w:t>
            </w:r>
          </w:p>
        </w:tc>
      </w:tr>
      <w:tr w:rsidR="00A40329" w:rsidRPr="00E24264" w14:paraId="612EBEEC" w14:textId="77777777" w:rsidTr="00A40329">
        <w:trPr>
          <w:cantSplit/>
          <w:trHeight w:val="231"/>
        </w:trPr>
        <w:tc>
          <w:tcPr>
            <w:tcW w:w="559" w:type="dxa"/>
          </w:tcPr>
          <w:p w14:paraId="612EBEE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E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Giáo dục và Đào tạo</w:t>
            </w:r>
          </w:p>
        </w:tc>
        <w:tc>
          <w:tcPr>
            <w:tcW w:w="851" w:type="dxa"/>
          </w:tcPr>
          <w:p w14:paraId="612EBEE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E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E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Sở Giáo dục và Đào tạo: trong năm 2021 đơn vị đầu tư 02 phần mềm ứng dụng được mua sắm theo hình thức dịch vụ CNTT có sẵn trên thị trường. Qua kiểm toán nhận thấy, ứng dụng hoạt động trên nền tảng Web, được nhiều đơn vị phát triển nhằm mục đích phục vụ cho công tác quản lý chuyên môn, nghiệp vụ và chuyển đổi số trong lĩnh vực giáo dục đào tạo. Tuy nhiên, các ứng dụng này chưa được đề xuất với Chính phủ, Bộ TTTT để xây dựng nền tảng dùng chung triển khai quy mô toàn quốc  đồng bộ từ trung ương đến địa phương giúp nâng cao chất lượng hoạt động CĐS trong lĩnh vực giáo dục và đào tạo.</w:t>
            </w:r>
          </w:p>
        </w:tc>
        <w:tc>
          <w:tcPr>
            <w:tcW w:w="3827" w:type="dxa"/>
          </w:tcPr>
          <w:p w14:paraId="612EBEE8"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để đề xuất với Chính phủ, Bộ Khoa học và Công nghệ xây dựng nền tảng dùng chung triển khai quy mô toàn quốc (đồng bộ từ trung ương đến địa phương) đối với một số ứng dụng CNTT phục vụ công tác quản lý, chuyên môn nghiệp vụ của địa phương và các cơ sở giáo dục đào tạo công lập (như: quản lý tuyển sinh đầu cấp; quản lý thư viện điện tử; kiểm định chất lượng giáo dục cho các cơ sở giáo dục công lập...) nhằm tiết kiệm kinh phí cho NSNN, do có nhiều địa phương trong cả nước đã thực hiện mua sắm riêng lẻ với kinh phí lớn; đồng thời giúp nâng cao chất lượng hoạt động CĐS trong lĩnh vực giáo dục và đào tạo.</w:t>
            </w:r>
          </w:p>
        </w:tc>
        <w:tc>
          <w:tcPr>
            <w:tcW w:w="2126" w:type="dxa"/>
          </w:tcPr>
          <w:p w14:paraId="612EBEE9"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giai đoạn 2021 - 2024 tại tỉnh Bình Phước</w:t>
            </w:r>
          </w:p>
        </w:tc>
      </w:tr>
      <w:tr w:rsidR="00A40329" w:rsidRPr="00E24264" w14:paraId="612EBEF6" w14:textId="77777777" w:rsidTr="00A40329">
        <w:trPr>
          <w:cantSplit/>
          <w:trHeight w:val="231"/>
        </w:trPr>
        <w:tc>
          <w:tcPr>
            <w:tcW w:w="559" w:type="dxa"/>
          </w:tcPr>
          <w:p w14:paraId="612EBEE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EE"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Nội vụ</w:t>
            </w:r>
          </w:p>
        </w:tc>
        <w:tc>
          <w:tcPr>
            <w:tcW w:w="851" w:type="dxa"/>
          </w:tcPr>
          <w:p w14:paraId="612EBEEF"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F0"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F1"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qua kiểm toán nhận thấy có sự bất cập giữa các quy định hiện hành đối với công việc tạo lập cơ sở dữ liệu có cấu trúc trong hoạt động ứng dụng CNTT và hoạt động đầu tư ứng dụng CNTT, cụ thể: Bộ Nội vụ có ban hành định mức kinh tế - kỹ thuật tạo lập cơ sở dữ liệu tài liệu lưu trữ tại Thông tư số 04/2014/TT-BNV ngày 23/6/2014, nhưng không có hướng dẫn cụ thể việc xác định giá nhân công, nên không có cơ sở để lập đơn giá dự toán theo quy định của Bộ Nội vụ.</w:t>
            </w:r>
          </w:p>
        </w:tc>
        <w:tc>
          <w:tcPr>
            <w:tcW w:w="3827" w:type="dxa"/>
          </w:tcPr>
          <w:p w14:paraId="612EBEF2"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Có hướng dẫn cụ thể việc xác định giá nhân công gắn với định mức lao động quy định tại Thông tư số 04/2014/TT-BNV ngày 23/6/2014 của Bộ Nội vụ quy định định mức kinh tế - kỹ thuật tạo lập cơ sở dữ liệu tài liệu lưu trữ để, làm cơ sở cho việc lập dự toán được rõ ràng, dễ thực hiện.</w:t>
            </w:r>
          </w:p>
        </w:tc>
        <w:tc>
          <w:tcPr>
            <w:tcW w:w="2126" w:type="dxa"/>
          </w:tcPr>
          <w:p w14:paraId="612EBEF3"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giai đoạn 2021 - 2024 tại tỉnh Bình Phước</w:t>
            </w:r>
          </w:p>
        </w:tc>
      </w:tr>
      <w:tr w:rsidR="00A40329" w:rsidRPr="00E24264" w14:paraId="612EBF00" w14:textId="77777777" w:rsidTr="00A40329">
        <w:trPr>
          <w:cantSplit/>
          <w:trHeight w:val="231"/>
        </w:trPr>
        <w:tc>
          <w:tcPr>
            <w:tcW w:w="559" w:type="dxa"/>
          </w:tcPr>
          <w:p w14:paraId="612EBEF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EF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EF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EF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EF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Đơn giá nhập dữ liệu trong dự toán gói thầu số hóa sổ hộ tịch của Sở Tư pháp (để đấu thầu rộng rãi) được áp dụng theo mức tối đa quy định tại điểm a khoản 1 Điều 4 Thông tư số 194/2012/TT-BTC ngày 15/11/2012 của Bộ Tài chính mà chưa xem xét trên cơ sở số ký tự thực tế trong trường dữ liệu để tính toán đơn giá hợp lý.</w:t>
            </w:r>
          </w:p>
        </w:tc>
        <w:tc>
          <w:tcPr>
            <w:tcW w:w="3827" w:type="dxa"/>
          </w:tcPr>
          <w:p w14:paraId="612EBEFC"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xem xét ban hành  hướng dẫn hoặc quy định cụ thể phương pháp xác định đơn giá trong trường hợp số lượng ký tự trong 01 trường dữ liệu nhập liệu thấp hơn mức ký tự tối đa hoặc xem xét sửa đổi theo hướng chia thành nhiều mức giá nhập liệu dữ liệu có cấu trúc (hiện nay chỉ 03 mức) quy định tại Thông tư số 194/2012/TT-BTC, để tiết kiệm kinh phí cho NSNN</w:t>
            </w:r>
          </w:p>
        </w:tc>
        <w:tc>
          <w:tcPr>
            <w:tcW w:w="2126" w:type="dxa"/>
          </w:tcPr>
          <w:p w14:paraId="612EBEFD"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giai đoạn 2021 - 2024 tại tỉnh Bình Phước</w:t>
            </w:r>
          </w:p>
        </w:tc>
      </w:tr>
      <w:tr w:rsidR="00A40329" w:rsidRPr="00E24264" w14:paraId="612EBF0C" w14:textId="77777777" w:rsidTr="00A40329">
        <w:trPr>
          <w:cantSplit/>
          <w:trHeight w:val="231"/>
        </w:trPr>
        <w:tc>
          <w:tcPr>
            <w:tcW w:w="559" w:type="dxa"/>
          </w:tcPr>
          <w:p w14:paraId="612EBF0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02"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Thủ tướng Chính phủ</w:t>
            </w:r>
          </w:p>
        </w:tc>
        <w:tc>
          <w:tcPr>
            <w:tcW w:w="851" w:type="dxa"/>
          </w:tcPr>
          <w:p w14:paraId="612EBF03"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0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F06" w14:textId="38249706" w:rsidR="00A40329" w:rsidRPr="00E24264" w:rsidRDefault="00A40329" w:rsidP="001E0652">
            <w:pPr>
              <w:pBdr>
                <w:top w:val="dotted" w:sz="4" w:space="0" w:color="FFFFFF"/>
                <w:left w:val="dotted" w:sz="4" w:space="0" w:color="FFFFFF"/>
                <w:bottom w:val="dotted" w:sz="4" w:space="13" w:color="FFFFFF"/>
                <w:right w:val="dotted" w:sz="4" w:space="0" w:color="FFFFFF"/>
              </w:pBdr>
              <w:shd w:val="clear" w:color="auto" w:fill="FFFFFF"/>
              <w:tabs>
                <w:tab w:val="left" w:pos="2460"/>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Các gói thầu số hóa tài liệu lưu trữ năm 2021 của Sở Nội vụ là hoạt động tạo lập, duy trì hệ thống cơ sở dữ liệu sử dụng nguồn chi thường xuyên nhưng đơn vị không thực hiện theo quy định tại điểm c khoản 1 Điều 51  mà theo khoản 2 Điều 51 (áp dụng cho việc nâng cấp, mở rộng cơ sở dữ liệu thuộc dự án đầu tư ứng dụng CNTT) của Nghị định số 73/2019/NĐ-CP của Chính phủ quy định quản lý đầu tư ứng dụng CNTT sử dụng nguồn vốn NSNN, không đúng tính chất dẫn đến dự toán gói thầu không được lập trên cơ sở đơn giá đã được ban hành tại Thông tư số 194/2012/TT-BTC của Bộ Tài chính  mà theo phương pháp so sánh giữa chi phí tính theo định mức tạo lập cơ sở dữ liệu trong hoạt động ứng dụng CNTT quy định tại Quyết định số 1595/QĐ-BTTTT ngày 03/10/2011 của Bộ trưởng Bộ TTTT với giá thị trường theo báo giá , tuy nhiên giá gói thầu và giá trúng thầu không vượt mức tối đa quy định tại Thông tư số 194/2012/TT-BTC của Bộ Tài chính.</w:t>
            </w:r>
          </w:p>
        </w:tc>
        <w:tc>
          <w:tcPr>
            <w:tcW w:w="3827" w:type="dxa"/>
          </w:tcPr>
          <w:p w14:paraId="612EBF0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Chỉ đạo Bộ Tài chính và Bộ Khoa học và Công nghệ phối hợp rà soát, nghiên cứu để khắc phục một số tình trạng bất hợp lý về các chế độ, chính sách trong hoạt động ứng dụng CNTT và đầu tư ứng dụng CNTT, như sau:</w:t>
            </w:r>
          </w:p>
          <w:p w14:paraId="612EBF0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Cùng một nội dung công việc trong tạo lập cơ sở dữ liệu (như nhập dữ liệu có cấu trúc, chuyển đổi thông tin (quét dữ liệu có sẵn),...) nhưng đơn giá lập theo quy định tại Quyết định số 1595/QĐ-BTTTT ngày 03/10/2011 của Bộ trưởng Bộ TTTT về công bố định mức tạo lập cơ sở dữ liệu trong hoạt động ứng dụng công nghệ thông tin, cao hơn rất nhiều so với mức giá tối đa theo quy định tại Thông tư số 194/2012/TT-BTC ngày 15/11/2012 của Bộ Tài chính về hướng dẫn mức chi tạo lập thông tin điện tử nhằm duy trì hoạt động thường xuyên của các cơ quan, đơn vị sử dụng ngân sách nhà nước.</w:t>
            </w:r>
          </w:p>
        </w:tc>
        <w:tc>
          <w:tcPr>
            <w:tcW w:w="2126" w:type="dxa"/>
          </w:tcPr>
          <w:p w14:paraId="612EBF09"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giai đoạn 2021 - 2024 tại tỉnh Bình Phước</w:t>
            </w:r>
          </w:p>
        </w:tc>
      </w:tr>
      <w:tr w:rsidR="00A40329" w:rsidRPr="00E24264" w14:paraId="612EBF22" w14:textId="77777777" w:rsidTr="00A40329">
        <w:trPr>
          <w:cantSplit/>
          <w:trHeight w:val="231"/>
        </w:trPr>
        <w:tc>
          <w:tcPr>
            <w:tcW w:w="559" w:type="dxa"/>
          </w:tcPr>
          <w:p w14:paraId="612EBF1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18"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Thủ tướng Chính phủ</w:t>
            </w:r>
          </w:p>
        </w:tc>
        <w:tc>
          <w:tcPr>
            <w:tcW w:w="851" w:type="dxa"/>
          </w:tcPr>
          <w:p w14:paraId="612EBF19"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1A"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F1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Giá nhân công tại Quyết định số 129/QĐ-BTTTT có sự khác biệt (cao hơn nhiều) so với giá nhân công quy định đối với các nhiệm vụ chi ứng dụng CNTT thuộc lĩnh vực chi thường xuyên tại Thông tư số 136/2017/TT-BTC của Bộ Tài chính, cụ thể tại Thông tư số 136/2017/TT-BTC quy định chi phí nhân công chỉ tính theo lương cơ sở, trong khi quy định tại Quyết định số 129/QĐ-BTTTT cho phép cộng thêm hệ số điều chỉnh theo vùng, dẫn đến việc áp dụng không đồng nhất giá nhân công trong chi phí đầu tư, ứng dụng CNTT . Mặt khác, qua kiểm toán cho thấy việc quy định giá nhân công được điều chỉnh lương theo vùng là chưa hợp lý, do dự án đầu tư ứng dụng </w:t>
            </w:r>
            <w:r w:rsidRPr="00E24264">
              <w:rPr>
                <w:rFonts w:ascii="Times New Roman" w:eastAsia="Times New Roman" w:hAnsi="Times New Roman" w:cs="Times New Roman"/>
                <w:sz w:val="20"/>
                <w:szCs w:val="20"/>
              </w:rPr>
              <w:lastRenderedPageBreak/>
              <w:t>CNTT được đấu thầu rộng rãi và không cần phải sử dụng lao động trực tiếp tại địa phương, dẫn đến cùng một ứng dụng CNTT, nhưng nếu lập dự toán ở địa bàn vùng I sẽ có mức chi phí cao hơn rất nhiều so với vùng IV).</w:t>
            </w:r>
          </w:p>
        </w:tc>
        <w:tc>
          <w:tcPr>
            <w:tcW w:w="3827" w:type="dxa"/>
          </w:tcPr>
          <w:p w14:paraId="612EBF1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Chỉ đạo Bộ Tài chính và Bộ Khoa học và Công nghệ phối hợp rà soát, nghiên cứu để khắc phục một số tình trạng bất hợp lý về các chế độ, chính sách trong hoạt động ứng dụng CNTT và đầu tư ứng dụng CNTT, như sau:</w:t>
            </w:r>
          </w:p>
          <w:p w14:paraId="612EBF1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Quy định về tiền lương tháng (để xác định giá nhân công) trong hoạt động ứng dụng CNTT tại Thông tư số 136/2017/TT-BTC ngày 22/12/2017 với quy định về tiền lương trong đầu tư ứng dụng CNTT tại Quyết định </w:t>
            </w:r>
            <w:r w:rsidRPr="00E24264">
              <w:rPr>
                <w:rFonts w:ascii="Times New Roman" w:eastAsia="Times New Roman" w:hAnsi="Times New Roman" w:cs="Times New Roman"/>
                <w:sz w:val="20"/>
                <w:szCs w:val="20"/>
              </w:rPr>
              <w:lastRenderedPageBreak/>
              <w:t>số 320/QĐ-BKHCN ngày 30/3/2025 của Bộ Khoa học và Công nghệ do có sự khác biệt lớn, nhằm đảm bảo chính sách được áp dụng đồng bộ giữa ngành, lĩnh vực.</w:t>
            </w:r>
          </w:p>
          <w:p w14:paraId="612EBF1E" w14:textId="77777777" w:rsidR="00A40329" w:rsidRPr="00E24264" w:rsidRDefault="00A40329" w:rsidP="001E0652">
            <w:pPr>
              <w:keepNext/>
              <w:tabs>
                <w:tab w:val="left" w:pos="8900"/>
              </w:tabs>
              <w:spacing w:after="0" w:line="240" w:lineRule="auto"/>
              <w:jc w:val="both"/>
              <w:rPr>
                <w:rFonts w:ascii="Times New Roman" w:eastAsia="Times New Roman" w:hAnsi="Times New Roman" w:cs="Times New Roman"/>
                <w:sz w:val="20"/>
                <w:szCs w:val="20"/>
              </w:rPr>
            </w:pPr>
          </w:p>
        </w:tc>
        <w:tc>
          <w:tcPr>
            <w:tcW w:w="2126" w:type="dxa"/>
          </w:tcPr>
          <w:p w14:paraId="612EBF1F" w14:textId="77777777"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Kiểm toán Báo cáo quyết toán ngân sách địa phương năm 2024 tỉnh Bình Phước; Kiểm toán chuyên đề việc đầu tư, ứng dụng phần mềm công nghệ thông tin, các hoạt động thuê dịch vụ công nghệ thông tin phục vụ chuyển đổi số </w:t>
            </w:r>
            <w:r w:rsidRPr="00E24264">
              <w:rPr>
                <w:rFonts w:ascii="Times New Roman" w:eastAsia="Times New Roman" w:hAnsi="Times New Roman" w:cs="Times New Roman"/>
                <w:sz w:val="20"/>
                <w:szCs w:val="20"/>
              </w:rPr>
              <w:lastRenderedPageBreak/>
              <w:t>giai đoạn 2021 - 2024 tại tỉnh Bình Phước</w:t>
            </w:r>
          </w:p>
        </w:tc>
      </w:tr>
      <w:tr w:rsidR="00A40329" w:rsidRPr="00E24264" w14:paraId="53D9AEE5" w14:textId="77777777" w:rsidTr="00A40329">
        <w:trPr>
          <w:cantSplit/>
          <w:trHeight w:val="231"/>
        </w:trPr>
        <w:tc>
          <w:tcPr>
            <w:tcW w:w="559" w:type="dxa"/>
          </w:tcPr>
          <w:p w14:paraId="60EFAB1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584BC72" w14:textId="27FDF06B"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Hồ Chí Minh</w:t>
            </w:r>
          </w:p>
        </w:tc>
        <w:tc>
          <w:tcPr>
            <w:tcW w:w="851" w:type="dxa"/>
          </w:tcPr>
          <w:p w14:paraId="303E48BE" w14:textId="53FD045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0796701" w14:textId="2C9BBA9F"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tham mưu cho UBND sửa đổi, xây dựng, ban hành</w:t>
            </w:r>
          </w:p>
        </w:tc>
        <w:tc>
          <w:tcPr>
            <w:tcW w:w="5672" w:type="dxa"/>
          </w:tcPr>
          <w:p w14:paraId="6D5330C3" w14:textId="77777777" w:rsidR="00A40329" w:rsidRPr="00E24264" w:rsidRDefault="00A40329" w:rsidP="001E0652">
            <w:pPr>
              <w:widowControl w:val="0"/>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quy phạm pháp luật của địa phương chưa ban hành hoặc chưa điều chỉnh kịp thời theo văn bản của trung ương cụ thể:</w:t>
            </w:r>
          </w:p>
          <w:p w14:paraId="2B82A23A" w14:textId="7DF55AEB" w:rsidR="00A40329" w:rsidRPr="00E24264" w:rsidRDefault="00A40329" w:rsidP="001E0652">
            <w:pPr>
              <w:widowControl w:val="0"/>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Quyết định số 07/2017/QĐ-UBND ngày 17/02/2017 của UBND TPHCM ban hành quy chế tổ chức và hoạt động của Ban Quản lý Khu CNC, trong đó tại khoản 9  Điều 2</w:t>
            </w:r>
            <w:r w:rsidRPr="00E24264">
              <w:rPr>
                <w:rFonts w:ascii="Times New Roman" w:eastAsia="Times New Roman" w:hAnsi="Times New Roman" w:cs="Times New Roman"/>
                <w:sz w:val="20"/>
                <w:szCs w:val="20"/>
                <w:vertAlign w:val="superscript"/>
              </w:rPr>
              <w:footnoteReference w:id="5"/>
            </w:r>
            <w:r w:rsidRPr="00E24264">
              <w:rPr>
                <w:rFonts w:ascii="Times New Roman" w:eastAsia="Times New Roman" w:hAnsi="Times New Roman" w:cs="Times New Roman"/>
                <w:sz w:val="20"/>
                <w:szCs w:val="20"/>
                <w:vertAlign w:val="superscript"/>
              </w:rPr>
              <w:t xml:space="preserve"> </w:t>
            </w:r>
            <w:r w:rsidRPr="00E24264">
              <w:rPr>
                <w:rFonts w:ascii="Times New Roman" w:eastAsia="Times New Roman" w:hAnsi="Times New Roman" w:cs="Times New Roman"/>
                <w:sz w:val="20"/>
                <w:szCs w:val="20"/>
              </w:rPr>
              <w:t xml:space="preserve">quy định Ban Quản lý Khu CNC có quyền hạn trong việc cho thuê đất. Tuy nhiên, quy định về thẩm quyền này không còn phù hợp với Điều 123 Luật Đất đai năm 2024 (chỉ có UBND các cấp mới có thẩm quyền cho thuê đất và không được phân cấp, ủy quyền). Hiện nay, UBND TP.HCM chưa ban hành sửa Quy chế tổ chức và hoạt động Ban quản lý Khu CNC cho phù hợp với Luật Đất đai năm 2024. </w:t>
            </w:r>
          </w:p>
          <w:p w14:paraId="4D964870" w14:textId="38FE3706" w:rsidR="00A40329" w:rsidRPr="00E24264" w:rsidRDefault="00A40329" w:rsidP="001E0652">
            <w:pPr>
              <w:widowControl w:val="0"/>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w:t>
            </w:r>
            <w:bookmarkStart w:id="7" w:name="_Hlk215057318"/>
            <w:r w:rsidRPr="00E24264">
              <w:rPr>
                <w:rFonts w:ascii="Times New Roman" w:eastAsia="Times New Roman" w:hAnsi="Times New Roman" w:cs="Times New Roman"/>
                <w:sz w:val="20"/>
                <w:szCs w:val="20"/>
              </w:rPr>
              <w:t xml:space="preserve"> Về thực hiện Nghị quyết số 98/2023/QH15: </w:t>
            </w:r>
            <w:bookmarkStart w:id="8" w:name="_Hlk214957974"/>
            <w:r w:rsidRPr="00E24264">
              <w:rPr>
                <w:rFonts w:ascii="Times New Roman" w:eastAsia="Times New Roman" w:hAnsi="Times New Roman" w:cs="Times New Roman"/>
                <w:sz w:val="20"/>
                <w:szCs w:val="20"/>
              </w:rPr>
              <w:t>chậm xây dựng trình cấp có thẩm quyền xem xét quyết định các cơ chế, chính sách đặc thù riêng của Thành phố theo quy định tại điểm b khoản 4 Điều 11 Nghị quyết số 98/2023/QH15 (ngoài các chính sách chung đã được quy định trong luật và Nghị quyết Quốc hội) để thu hút nhà đầu tư chiến lược, huy động nguồn lực trong và ngoài nước cho đầu tư phát triển khu công nghiệp</w:t>
            </w:r>
            <w:bookmarkEnd w:id="7"/>
            <w:bookmarkEnd w:id="8"/>
            <w:r w:rsidRPr="00E24264">
              <w:rPr>
                <w:rFonts w:ascii="Times New Roman" w:eastAsia="Times New Roman" w:hAnsi="Times New Roman" w:cs="Times New Roman"/>
                <w:sz w:val="20"/>
                <w:szCs w:val="20"/>
              </w:rPr>
              <w:t xml:space="preserve">.  </w:t>
            </w:r>
          </w:p>
          <w:p w14:paraId="2C71843B" w14:textId="1965C176"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Chưa ban hành các chính sách việc ưu tiên tuyển dụng và sử dụng lao động tại chỗ, lao động có chuyên môn cao, tay nghề giỏi theo khoản 4 Điều 66 và điều kiện và tiêu chí đối với các doanh nghiệp, nhà đầu tư được ưu tiên thuê đất, thuê lại đất quy định tại khoản 4 Điều 9 của Nghị định số 35/2022/NĐ-CP.</w:t>
            </w:r>
          </w:p>
        </w:tc>
        <w:tc>
          <w:tcPr>
            <w:tcW w:w="3827" w:type="dxa"/>
          </w:tcPr>
          <w:p w14:paraId="0BB72F1A" w14:textId="77777777" w:rsidR="00A40329" w:rsidRPr="00E24264" w:rsidRDefault="00A40329" w:rsidP="001E0652">
            <w:pPr>
              <w:widowControl w:val="0"/>
              <w:spacing w:after="0" w:line="240" w:lineRule="auto"/>
              <w:jc w:val="both"/>
              <w:rPr>
                <w:rFonts w:ascii="Times New Roman" w:eastAsia="Times New Roman" w:hAnsi="Times New Roman" w:cs="Times New Roman"/>
                <w:sz w:val="20"/>
                <w:szCs w:val="20"/>
              </w:rPr>
            </w:pPr>
            <w:bookmarkStart w:id="9" w:name="_Hlk215057405"/>
            <w:r w:rsidRPr="00E24264">
              <w:rPr>
                <w:rFonts w:ascii="Times New Roman" w:eastAsia="Times New Roman" w:hAnsi="Times New Roman" w:cs="Times New Roman"/>
                <w:sz w:val="20"/>
                <w:szCs w:val="20"/>
              </w:rPr>
              <w:t>UBND tp Hồ Chí Minh Chỉ đạo:</w:t>
            </w:r>
          </w:p>
          <w:p w14:paraId="0D96BFB5" w14:textId="77777777" w:rsidR="00A40329" w:rsidRPr="00E24264" w:rsidRDefault="00A40329" w:rsidP="001E0652">
            <w:pPr>
              <w:widowControl w:val="0"/>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Các sở ngành có liên quan:</w:t>
            </w:r>
          </w:p>
          <w:p w14:paraId="19EA905F" w14:textId="6B452C43"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Rà soát, tham mưu UBND Thành phố: (i) Sửa đổi khoản 9 Điều 2 Quy chế tổ chức và hoạt động của Ban quản lý Khu công nghệ cao ban hành kèm theo Quyết định số 07/2017/QĐ-UBND ngày 17/02/2017 của UBND TP.HCM quy định về thẩm quyền của Ban Quản lý trong việc cho thuê đất cho phù hợp với Luật Đất đai năm 2024; (ii) Xây dựng và trình cấp có thẩm quyền ban hành các cơ chế, chính sách đặc thù ưu tiên thu hút nhà đầu tư chiến lược nhằm thực hiện hiệu quả các cơ chế, chính sách đã được quy định tại Nghị quyết số 98/2023/QH15; </w:t>
            </w:r>
            <w:bookmarkEnd w:id="9"/>
            <w:r w:rsidRPr="00E24264">
              <w:rPr>
                <w:rFonts w:ascii="Times New Roman" w:eastAsia="Times New Roman" w:hAnsi="Times New Roman" w:cs="Times New Roman"/>
                <w:sz w:val="20"/>
                <w:szCs w:val="20"/>
              </w:rPr>
              <w:t>(iii) Xem xét ban hành các chính sách việc ưu tiên tuyển dụng và sử dụng lao động tại chỗ, lao động có chuyên môn cao, tay nghề giỏi theo khoản 4 Điều 66 và điều kiện và tiêu chí đối với các doanh nghiệp, nhà đầu tư được ưu tiên thuê đất, thuê lại đất quy định tại khoản 4 Điều 9 Nghị định số 35/2022/NĐ-CP.</w:t>
            </w:r>
          </w:p>
        </w:tc>
        <w:tc>
          <w:tcPr>
            <w:tcW w:w="2126" w:type="dxa"/>
          </w:tcPr>
          <w:p w14:paraId="56B1442F" w14:textId="57BFF84E" w:rsidR="00A40329" w:rsidRPr="00E24264" w:rsidRDefault="00A40329" w:rsidP="001E0652">
            <w:pPr>
              <w:keepNext/>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chuyên đề việc thực hiện chính sách ưu đãi đầu tư tại khu kinh tế, khu công nghiệp giai đoạn 2022-2024 tại Thành phố Hồ Chí Minh.</w:t>
            </w:r>
          </w:p>
        </w:tc>
      </w:tr>
      <w:tr w:rsidR="00A40329" w:rsidRPr="00E24264" w14:paraId="612EBF32" w14:textId="77777777" w:rsidTr="00A40329">
        <w:trPr>
          <w:cantSplit/>
          <w:trHeight w:val="231"/>
        </w:trPr>
        <w:tc>
          <w:tcPr>
            <w:tcW w:w="559" w:type="dxa"/>
          </w:tcPr>
          <w:p w14:paraId="612EBF2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2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các tỉnh Đồng Tháp, Tiền Giang, An Giang</w:t>
            </w:r>
          </w:p>
        </w:tc>
        <w:tc>
          <w:tcPr>
            <w:tcW w:w="851" w:type="dxa"/>
          </w:tcPr>
          <w:p w14:paraId="612EBF2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tiêu chí Quốc gia về xã NTM ban hành kèm </w:t>
            </w:r>
            <w:r w:rsidRPr="00E24264">
              <w:rPr>
                <w:rFonts w:ascii="Times New Roman" w:eastAsia="Times New Roman" w:hAnsi="Times New Roman" w:cs="Times New Roman"/>
                <w:sz w:val="20"/>
                <w:szCs w:val="20"/>
              </w:rPr>
              <w:lastRenderedPageBreak/>
              <w:t>theo Quyết định số 318/QĐ-TTg</w:t>
            </w:r>
          </w:p>
        </w:tc>
        <w:tc>
          <w:tcPr>
            <w:tcW w:w="851" w:type="dxa"/>
          </w:tcPr>
          <w:p w14:paraId="612EBF2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w:t>
            </w:r>
          </w:p>
        </w:tc>
        <w:tc>
          <w:tcPr>
            <w:tcW w:w="5672" w:type="dxa"/>
          </w:tcPr>
          <w:p w14:paraId="612EBF2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Tại Phụ lục I Bộ tiêu chí Quốc gia về xã NTM ban hành kèm theo Quyết định số 318/QĐ-TTg quy định Chỉ tiêu 6.3. “Tỷ lệ thôn, bản, ấp có nhà văn hóa hoặc nơi sinh hoạt văn hóa, thể thao phục vụ cộng đồng”. Tuy nhiên, Văn bản số 1064/HD-BVHTTDL ngày 30/3/2022 của Bộ Văn hoá, Thể thao và Du lịch và Văn bản số 1807/HD-BVHTTDL ngày 26/04/2024 của Bộ Văn hóa, Thể thao và Du lịch hướng dẫn thực hiện các tiêu chí, chỉ tiêu thuộc Bộ Tiêu chí quốc gia về nông thôn mới các cấp giai đoạn 2021-2025 chỉ có hướng dẫn thực hiện nội dung “nhà văn hóa” chưa có hướng dẫn cụ thể đối với </w:t>
            </w:r>
            <w:r w:rsidRPr="00E24264">
              <w:rPr>
                <w:rFonts w:ascii="Times New Roman" w:eastAsia="Times New Roman" w:hAnsi="Times New Roman" w:cs="Times New Roman"/>
                <w:sz w:val="20"/>
                <w:szCs w:val="20"/>
              </w:rPr>
              <w:lastRenderedPageBreak/>
              <w:t>nội dung “nơi sinh hoạt văn hóa, thể thao phục vụ cộng đồng” dẫn đến địa phương chưa có cơ sở để thực hiện nội dung này.</w:t>
            </w:r>
          </w:p>
          <w:p w14:paraId="612EBF2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Phụ lục I Bộ tiêu chí Quốc gia về xã NTM ban hành kèm theo Quyết định số 318/QĐ-TTg quy định Chỉ tiêu 8.1 “Xã có điểm phục vụ bưu chính”: Việc quy định tiêu chí về xã có điểm phục vụ bưu chính nằm ngoài tầm kiểm soát của các xã khi triển khai thực hiện vì các điểm phục vụ bưu chính do doanh nghiệp bưu chính trên địa bàn tỉnh quản lý, nên nếu điểm phục vụ bưu chính nào hoạt động không hiệu quả (không có lợi nhuận) thì doanh nghiệp bưu chính đóng cửa ngừng hoạt động. Điều này ảnh hưởng đến việc duy trì nâng chất tiêu chí này về lâu dài. Hiện nay, việc triển khai tiếp nhận hồ sơ và trả kết quả giải quyết thủ tục hành chính theo mô hình “phi địa giới hành chính” nên người dân không đến điểm phục vụ bưu chính xã để nộp hồ sơ. Ngoài ra, có rất nhiều doanh nghiệp chuyển phát nhanh được nhiều người dân chuyển, nhận hàng hóa, bưu phẩm…, hơn là tại điểm phục vụ bưu chính xã.</w:t>
            </w:r>
          </w:p>
          <w:p w14:paraId="612EBF2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Phụ lục I Bộ tiêu chí Quốc gia về xã NTM ban hành kèm theo Quyết định số 318/QĐ-TTg quy định Chỉ tiêu số 13.1 “Xã có hợp tác xã (HTX) hoạt động hiệu quả và theo đúng quy định của Luật Hợp tác xã”. Theo hướng dẫn tại Quyết định số 1245/QĐ-BKHĐT ngày 30/6/2022 và Quyết định số 1099/QĐ-BKHĐT ngày 07/05/2024 của Bộ Kế hoạch và Đầu tư thì HTX hoạt động hiệu quả được đánh giá, xếp loại theo hướng dẫn tại Thông tư 01/2020/TT-BKHĐT ngày 19/02/2020 của Bộ Kế hoạch và Đầu tư về hướng dẫn phân loại và đánh giá hợp tác xã. Tuy nhiên, qua kiểm tra việc đánh giá, xếp loại HTX trên địa bàn 04 huyện được kiểm toán nhận thấy Thông tư 01/2020/TT-BKHĐT có một số điểm bất cập, cụ thể:</w:t>
            </w:r>
          </w:p>
          <w:p w14:paraId="612EBF2A"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Thông tư 01/2020/TT-BKHĐT không quy định cơ quan nhà nước phải kiểm tra kết quả đánh giá của HTX, HTX tự đánh giá xếp loại, tự chịu trách nhiệm với kết quả đánh giá của mình, nên phát sinh trường hợp HTX đánh giá, xếp loại chưa đúng thực tế một số chỉ tiêu định lượng dẫn đến việc xếp loại chưa đúng thực tế hoạt động của HTX ; chưa quy định cơ chế kiểm tra nếu HTX không thực hiện đánh giá hoặc đánh giá không đúng tình hình hoạt động theo hướng dẫn tại Thông tư 01/2020/TT-BKHĐT.</w:t>
            </w:r>
          </w:p>
          <w:p w14:paraId="612EBF2B" w14:textId="6D65A1FE"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Thông tư 01/2020/TT-BKHĐT quy định chậm nhất vào ngày 15/12 hàng năm, HTX nộp bảng tự chấm điểm đến cơ quan đăng ký HTX là chưa phù hợp, do đến ngày 31/12 mới kết thúc năm tài chính nên có nhiều chỉ tiêu định lượng (chỉ tiêu về Tổng doanh thu bán hàng và cung cấp dịch vụ của năm; Lợi nhuận (thu nhập) trước thuế </w:t>
            </w:r>
            <w:r w:rsidRPr="00E24264">
              <w:rPr>
                <w:rFonts w:ascii="Times New Roman" w:eastAsia="Times New Roman" w:hAnsi="Times New Roman" w:cs="Times New Roman"/>
                <w:sz w:val="20"/>
                <w:szCs w:val="20"/>
              </w:rPr>
              <w:lastRenderedPageBreak/>
              <w:t xml:space="preserve">của năm; Trích lập các Quỹ của hợp tác xã…) chưa có số liệu chính xác để HTX đánh giá. </w:t>
            </w:r>
          </w:p>
          <w:p w14:paraId="19EB732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hướng dẫn đối với các xã NTM để duy trì được tiêu chí thì ít nhất 01 HTX (thành lập 3 năm trở lên) được đánh giá xếp loại “Khá” trở lên (hoặc loại trung bình trở lên đối với hợp tác xã thành lập dưới 03 năm) theo quy định tại Thông tư 01/2020/TT-BKHĐT ngày 19/02/2020 của Bộ Kế hoạch và Đầu tư về hướng dẫn phân loại và đánh giá hợp tác xã. Tuy nhiên theo cơ cấu chấm điểm hiện nay của Thông tư 01/2020/TT-BKHĐT thì “Nhóm tiêu chí về tài chính” chỉ chiếm 30/100 điểm, còn lại là các “Nhóm tiêu chí về quản trị, điều hành, năng lực của hợp tác xã” và “Nhóm tiêu chí về thành viên, lợi ích thành viên, cộng đồng”. Do đó chưa phản ánh được năng lực, hiệu quả của các HTX trong việc đánh giá xếp loại vì qua thực tế số liệu thống kê tại 04 huyện được kiểm toán chi tiết qua Tiêu chí 3. Kết quả sản xuất kinh doanh với Lợi nhuận (thu nhập) trước thuế tỷ lệ các HTX hoạt động lỗ, không có lợi nhuận hoặc dưới 200 trđ chiếm tỷ trọng lớn.</w:t>
            </w:r>
          </w:p>
          <w:p w14:paraId="6F047AE4"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p>
          <w:p w14:paraId="612EBF2C"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Phụ lục II Bộ tiêu chí Quốc gia về xã NTMNC ban hành kèm theo Quyết định số 318/QĐ-TTg quy định Chỉ tiêu số 8.1 “Có điểm phục vụ bưu chính đáp ứng cung cấp dịch vụ công trực tuyến cho người dân”: Việc quy định tiêu chí về xã có điểm phục vụ bưu chính đáp ứng cung cấp dịch vụ công trực tuyến cho người dân đòi hỏi doanh nghiệp bưu chính trên địa bàn tỉnh phải đầu tư kinh phí trang bị bổ sung các thiết bị như máy scan, máy vi tính, máy in,... nhưng người dân rất hiếm khi đến điểm phục vụ bưu chính để thực hiện dịch vụ công trực tuyến. Với mục tiêu kinh doanh vì lợi nhuận, doanh nghiệp bưu chính không tích cực triển khai thực hiện hoạt động này. Do vậy, các xã đang vướng mắc trong thực hiện chỉ tiêu trên.</w:t>
            </w:r>
          </w:p>
          <w:p w14:paraId="612EBF2D"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Tại Phụ lục II Bộ tiêu chí Quốc gia về xã NTMNC ban hành kèm theo Quyết định số 318/QĐ-TTg quy định Chỉ tiêu 8.2 “Tỷ lệ thuê bao sử dụng điện thoại thông minh”. Theo hướng dẫn tại Quyết định số 1127/QĐ-BTTTT ngày 22/6/2022 của Bộ trưởng Bộ Thông tin và Truyền thông: “Xã có tỷ lệ dân số theo độ tuổi lao động có thuê bao sử dụng điện thoại thông minh đạt: Tối thiểu 50% đối với các xã vùng đồng bào dân tộc thiểu số và miền núi, hải đảo; Tối thiểu 80% đối với các xã còn lại”, việc quy định tiêu chí xã có tỷ lệ dân số trong độ tuổi lao động có thuê bao sử dụng điện thoại thông minh đạt 80% rất khó thống kê xác định, muốn có số liệu chính xác thì cần phải thực hiện điều tra, thống kê trực tiếp từ người dân hằng năm, điều </w:t>
            </w:r>
            <w:r w:rsidRPr="00E24264">
              <w:rPr>
                <w:rFonts w:ascii="Times New Roman" w:eastAsia="Times New Roman" w:hAnsi="Times New Roman" w:cs="Times New Roman"/>
                <w:sz w:val="20"/>
                <w:szCs w:val="20"/>
              </w:rPr>
              <w:lastRenderedPageBreak/>
              <w:t>này làm tốn kém nguồn lực (thời gian, kinh phí,...). Do vậy, các xã đang vướng mắc trong thực hiện chỉ tiêu trên.</w:t>
            </w:r>
          </w:p>
        </w:tc>
        <w:tc>
          <w:tcPr>
            <w:tcW w:w="3827" w:type="dxa"/>
          </w:tcPr>
          <w:p w14:paraId="612EBF2E"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Rà soát, báo cáo cấp có thẩm quyền xem xét, sửa đổi quy định về Bộ Tiêu chí quốc gia về NTM, các hướng dẫn thực hiện Bộ Tiêu chí quốc gia về NTM để phù hợp với khả năng, thực tế của địa phương, phù hợp với thực tế sắp xếp, tổ chức lại đơn vị hành chính các cấp nhằm phát huy hiệu lực, hiệu quả của chương trình trong giai đoạn tiếp theo</w:t>
            </w:r>
          </w:p>
        </w:tc>
        <w:tc>
          <w:tcPr>
            <w:tcW w:w="2126" w:type="dxa"/>
          </w:tcPr>
          <w:p w14:paraId="612EBF2F"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Chương trình MTQG xây dựng NTM giai đoạn 2021-2025 tại  các tỉnh Đồng Tháp, Tiền Giang, An Giang</w:t>
            </w:r>
          </w:p>
        </w:tc>
      </w:tr>
      <w:tr w:rsidR="00A40329" w:rsidRPr="00E24264" w14:paraId="612EBF3C" w14:textId="77777777" w:rsidTr="00A40329">
        <w:trPr>
          <w:cantSplit/>
          <w:trHeight w:val="845"/>
        </w:trPr>
        <w:tc>
          <w:tcPr>
            <w:tcW w:w="559" w:type="dxa"/>
          </w:tcPr>
          <w:p w14:paraId="612EBF3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34"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Thái Nguyên</w:t>
            </w:r>
          </w:p>
        </w:tc>
        <w:tc>
          <w:tcPr>
            <w:tcW w:w="851" w:type="dxa"/>
          </w:tcPr>
          <w:p w14:paraId="612EBF35"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36" w14:textId="7777777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F37"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UBND tỉnh Thái Nguyên chưa có hướng dẫn, quy định về việc quản lý điểm kinh doanh tại chợ theo quy định tại khoản 3 Điều 11 Nghị định số 60/2024/NĐ-CP ngày 05/6/2024 của Chính phủ về quản lý và phát triển chợ </w:t>
            </w:r>
          </w:p>
        </w:tc>
        <w:tc>
          <w:tcPr>
            <w:tcW w:w="3827" w:type="dxa"/>
          </w:tcPr>
          <w:p w14:paraId="612EBF38"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Thái Nguyên ban hành văn bản hướng dẫn, quy định về việc quản lý điểm kinh doanh tại chợ theo quy định tại khoản 3 Điều 11 Nghị định số 60/2024/NĐ-CP ngày 05/6/2024 của Chính phủ về quản lý và phát triển chợ.</w:t>
            </w:r>
          </w:p>
        </w:tc>
        <w:tc>
          <w:tcPr>
            <w:tcW w:w="2126" w:type="dxa"/>
          </w:tcPr>
          <w:p w14:paraId="612EBF39"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ngân sách địa phương năm 2024 của tỉnh Thái Nguyên</w:t>
            </w:r>
          </w:p>
        </w:tc>
      </w:tr>
      <w:tr w:rsidR="00A40329" w:rsidRPr="00E24264" w14:paraId="1AE2ABAC" w14:textId="77777777" w:rsidTr="00A40329">
        <w:trPr>
          <w:cantSplit/>
          <w:trHeight w:val="231"/>
        </w:trPr>
        <w:tc>
          <w:tcPr>
            <w:tcW w:w="559" w:type="dxa"/>
          </w:tcPr>
          <w:p w14:paraId="3D9B975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508C7C9" w14:textId="7A76AC1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Bến Tre</w:t>
            </w:r>
          </w:p>
        </w:tc>
        <w:tc>
          <w:tcPr>
            <w:tcW w:w="851" w:type="dxa"/>
          </w:tcPr>
          <w:p w14:paraId="0CE516D5" w14:textId="5F1B01CC"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BA98E51" w14:textId="5D8FB05F"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42C5A852" w14:textId="2D5E0C8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chưa quyết định hoặc quy định phân cấp thẩm quyền quyết định phê duyệt nhiệm vụ và kinh phí thực hiện cải tạo, nâng cấp, mở rộng, xây dựng mới hạng mục công trình trong các dự án đã đầu tư xây dựng của cơ quan, đơn vị thuộc phạm vi quản lý của địa phương theo quy định tại điểm b khoản 2 Điều 8 Nghị định số 138/2024/NĐ-CP ngày 24/10/2024 của Chính phủ</w:t>
            </w:r>
          </w:p>
        </w:tc>
        <w:tc>
          <w:tcPr>
            <w:tcW w:w="3827" w:type="dxa"/>
          </w:tcPr>
          <w:p w14:paraId="33D72509" w14:textId="6CEF6A21"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quyết định hoặc quy định phân cấp thẩm quyền quyết định phê duyệt nhiệm vụ và kinh phí thực hiện cải tạo, nâng cấp, mở rộng, xây dựng mới hạng mục công trình trong các dự án đã đầu tư xây dựng của cơ quan, đơn vị thuộc phạm vi quản lý của địa phương theo quy định tại điểm b khoản 2 Điều 8 Nghị định số 138/2024/NĐ-CP ngày 24/10/2024 của Chính phủ và văn bản hướng dẫn hiện hành.</w:t>
            </w:r>
          </w:p>
        </w:tc>
        <w:tc>
          <w:tcPr>
            <w:tcW w:w="2126" w:type="dxa"/>
          </w:tcPr>
          <w:p w14:paraId="5FB49C8A" w14:textId="72E93063"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02C62C5D" w14:textId="77777777" w:rsidTr="00A40329">
        <w:trPr>
          <w:cantSplit/>
          <w:trHeight w:val="231"/>
        </w:trPr>
        <w:tc>
          <w:tcPr>
            <w:tcW w:w="559" w:type="dxa"/>
          </w:tcPr>
          <w:p w14:paraId="1E9AF18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92F806F" w14:textId="189CF72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 (Huyện Châu Thành)</w:t>
            </w:r>
          </w:p>
        </w:tc>
        <w:tc>
          <w:tcPr>
            <w:tcW w:w="851" w:type="dxa"/>
          </w:tcPr>
          <w:p w14:paraId="6E5F005B" w14:textId="58C24718"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D9DA1B0" w14:textId="6F99956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w:t>
            </w:r>
          </w:p>
        </w:tc>
        <w:tc>
          <w:tcPr>
            <w:tcW w:w="5672" w:type="dxa"/>
          </w:tcPr>
          <w:p w14:paraId="3350B5E1" w14:textId="3BFDDFEA"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 chưa ban hành đơn giá kinh tế - kỹ thuật thu gom, vận chuyển, xử lý chất thải rắn sinh hoạt theo quy định tại Thông tư số 36/2024/TT-BTNMT ngày 20/12/2024 của Bộ Tài nguyên và Môi trường</w:t>
            </w:r>
          </w:p>
        </w:tc>
        <w:tc>
          <w:tcPr>
            <w:tcW w:w="3827" w:type="dxa"/>
          </w:tcPr>
          <w:p w14:paraId="3A5E4384" w14:textId="69EDD47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Ban hành đơn giá kinh tế - kỹ thuật thu gom, vận chuyển, xử lý chất thải rắn sinh hoạt theo quy định tại Thông tư số 36/2024/TT-BTNMT ngày 20/12/2024 của Bộ Tài nguyên và Môi trường (hủy bỏ các Quyết định số 1781/QĐ-UBND ngày 09/8/2017, Quyết định số 1760/QĐ-UBND ngày 27/7/2020 và Quyết định số 2442/QĐ-UBND ngày 21/10/2022 của UBND tỉnh Bến Tre).</w:t>
            </w:r>
          </w:p>
        </w:tc>
        <w:tc>
          <w:tcPr>
            <w:tcW w:w="2126" w:type="dxa"/>
          </w:tcPr>
          <w:p w14:paraId="4D51036E" w14:textId="61DC518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51F22584" w14:textId="77777777" w:rsidTr="00A40329">
        <w:trPr>
          <w:cantSplit/>
          <w:trHeight w:val="231"/>
        </w:trPr>
        <w:tc>
          <w:tcPr>
            <w:tcW w:w="559" w:type="dxa"/>
          </w:tcPr>
          <w:p w14:paraId="6BAE2DA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41B3B90" w14:textId="04FC759B"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 (Huyện Châu Thành)</w:t>
            </w:r>
          </w:p>
        </w:tc>
        <w:tc>
          <w:tcPr>
            <w:tcW w:w="851" w:type="dxa"/>
          </w:tcPr>
          <w:p w14:paraId="73C8C492" w14:textId="64385C8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782A1D41" w14:textId="7D56F5ED"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Ban hành </w:t>
            </w:r>
          </w:p>
        </w:tc>
        <w:tc>
          <w:tcPr>
            <w:tcW w:w="5672" w:type="dxa"/>
          </w:tcPr>
          <w:p w14:paraId="02B14F83" w14:textId="0EE990F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chưa ban hành quy định hoặc phân cấp thẩm quyền quy định chế độ, tiêu chuẩn, định mức kinh tế-kỹ thuật bảo dưỡng, sửa chữa áp dụng đối với tài sản công tại các cơ quan thuộc phạm vi quản lý theo điểm b khoản 3 Điều 3 Thông tư số 65/2021/TT-BTC</w:t>
            </w:r>
          </w:p>
        </w:tc>
        <w:tc>
          <w:tcPr>
            <w:tcW w:w="3827" w:type="dxa"/>
          </w:tcPr>
          <w:p w14:paraId="674402AB" w14:textId="478F34D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Ban hành quy định hoặc phân cấp thẩm quyền quy định chế độ, tiêu chuẩn, định mức kinh tế-kỹ thuật bảo dưỡng, sửa chữa áp dụng đối với tài sản công tại các cơ quan thuộc phạm vi quản lý theo điểm b khoản 3 Điều 3 Thông tư số 65/2021/TT-BTC.</w:t>
            </w:r>
          </w:p>
        </w:tc>
        <w:tc>
          <w:tcPr>
            <w:tcW w:w="2126" w:type="dxa"/>
          </w:tcPr>
          <w:p w14:paraId="37274F2A" w14:textId="68A381D4"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124EEE7D" w14:textId="77777777" w:rsidTr="00A40329">
        <w:trPr>
          <w:cantSplit/>
          <w:trHeight w:val="231"/>
        </w:trPr>
        <w:tc>
          <w:tcPr>
            <w:tcW w:w="559" w:type="dxa"/>
          </w:tcPr>
          <w:p w14:paraId="255066B8"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88165EE" w14:textId="0001CCB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w:t>
            </w:r>
          </w:p>
        </w:tc>
        <w:tc>
          <w:tcPr>
            <w:tcW w:w="851" w:type="dxa"/>
          </w:tcPr>
          <w:p w14:paraId="37302112" w14:textId="661A7B1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C717F90" w14:textId="4D2C1D26"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393790DA" w14:textId="7D0FC583"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Chính phủ đã ban hành Nghị quyết số 28/NQ-CP ngày 03/3/2021 ban hành chiến lược quốc gia về bình đẳng giới giai đoạn 2021-2023, theo điểm l mục IV (Ủy ban nhân dân các tỉnh, thành phố trực thuộc trung ương: Chủ động xây dựng và ban hành kế hoạch thực hiện Chiến lược cho từng giai đoạn 5 năm và hàng năm của địa phương). Tuy nhiên, Tỉnh Bến Tre chưa ban hành kế hoạch thực hiện Chiến lược cho từng giai đoạn 5 năm, chỉ ban hành Kế hoạch triển khai số </w:t>
            </w:r>
            <w:r w:rsidRPr="00E24264">
              <w:rPr>
                <w:rFonts w:ascii="Times New Roman" w:eastAsia="Times New Roman" w:hAnsi="Times New Roman" w:cs="Times New Roman"/>
                <w:sz w:val="20"/>
                <w:szCs w:val="20"/>
              </w:rPr>
              <w:lastRenderedPageBreak/>
              <w:t>2398/KH-UBND ngày 19/4/2024 Triển khai thực hiện công tác bình đẳng giới và hoạt động vì sự tiến bộ của phụ nữ năm 2024</w:t>
            </w:r>
          </w:p>
        </w:tc>
        <w:tc>
          <w:tcPr>
            <w:tcW w:w="3827" w:type="dxa"/>
          </w:tcPr>
          <w:p w14:paraId="23BCD75C" w14:textId="7993B472"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Ban hành kế hoạch thực hiện Chiến lược cho từng giai đoạn 5 năm theo Nghị quyết số 28/NQ-CP ngày 03/3/2021 Ban hành chiến lược quốc gia về bình đẳng giới giai đoạn 2021-2023.</w:t>
            </w:r>
          </w:p>
        </w:tc>
        <w:tc>
          <w:tcPr>
            <w:tcW w:w="2126" w:type="dxa"/>
          </w:tcPr>
          <w:p w14:paraId="1E9EA7EF" w14:textId="46AEBC62"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296BBAF0" w14:textId="77777777" w:rsidTr="00A40329">
        <w:trPr>
          <w:cantSplit/>
          <w:trHeight w:val="231"/>
        </w:trPr>
        <w:tc>
          <w:tcPr>
            <w:tcW w:w="559" w:type="dxa"/>
          </w:tcPr>
          <w:p w14:paraId="207BC75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479BE56B" w14:textId="6328315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w:t>
            </w:r>
          </w:p>
        </w:tc>
        <w:tc>
          <w:tcPr>
            <w:tcW w:w="851" w:type="dxa"/>
          </w:tcPr>
          <w:p w14:paraId="42BD2146" w14:textId="17F8FB1F"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CB24761" w14:textId="3CBB8548"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0E6942FC" w14:textId="2AFB7C0E"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 chưa ban hành giá bán buôn nước sạch trên địa bàn theo quy định tại “Danh mục hàng hóa, dịch vụ do Nhà nước định giá” ban hành kèm theo Luật Giá số 16/2023/QH15, điểm b khoản 2 Điều 11 Thông tư số 44/2021/TT-BTC của Bộ Tài chính.</w:t>
            </w:r>
          </w:p>
        </w:tc>
        <w:tc>
          <w:tcPr>
            <w:tcW w:w="3827" w:type="dxa"/>
          </w:tcPr>
          <w:p w14:paraId="773B8301" w14:textId="78F7A30A"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Điều chỉnh đơn giá tiêu thụ nước sạch tại Quyết định số 45/2016/QĐ-UBND ngày 16/9/2016 của Ủy ban nhân dân tỉnh Bến Tre về việc quy định giá tiêu thụ nước sạch của Công ty Cổ phần Cấp thoát nước Bến Tre</w:t>
            </w:r>
          </w:p>
        </w:tc>
        <w:tc>
          <w:tcPr>
            <w:tcW w:w="2126" w:type="dxa"/>
          </w:tcPr>
          <w:p w14:paraId="411DA5D0" w14:textId="562F0846"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7B46DBAF" w14:textId="77777777" w:rsidTr="00A40329">
        <w:trPr>
          <w:cantSplit/>
          <w:trHeight w:val="231"/>
        </w:trPr>
        <w:tc>
          <w:tcPr>
            <w:tcW w:w="559" w:type="dxa"/>
          </w:tcPr>
          <w:p w14:paraId="5926670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14B1764" w14:textId="1746EAD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w:t>
            </w:r>
          </w:p>
        </w:tc>
        <w:tc>
          <w:tcPr>
            <w:tcW w:w="851" w:type="dxa"/>
          </w:tcPr>
          <w:p w14:paraId="28CD1260" w14:textId="16AAF5F2"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E46A572" w14:textId="025D109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5745E592" w14:textId="12F8235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Điểm c khoản 1 Điều 6 Quyết định số 68/QĐ-UBND: Khoán 45% chi cho các thành viên có liên quan gián tiếp trong công tác thẩm tra quyết toán (tập thể cán bộ, công chức, nhân viên của cơ quan thẩm tra quyết toán trừ Phòng chuyên môn của Sở Tài chính) theo số tháng thực tế có mặt theo bảng lương của năm ngân sách hiện hành, chưa phù hợp theo điểm b khoản 2 Điều 46 Nghị định số 99/2021/NĐ-CP ngày 11/11/2021 của Chính phủ Quy định về quản lý, thanh toán, quyết toán dự án sử dụng vốn đầu tư công (b) Nội dung chi cho công tác thẩm tra và phê duyệt quyết toán gồm: Chi trực tiếp cho công tác thẩm tra quyết toán, phê duyệt quyết toán.</w:t>
            </w:r>
          </w:p>
        </w:tc>
        <w:tc>
          <w:tcPr>
            <w:tcW w:w="3827" w:type="dxa"/>
          </w:tcPr>
          <w:p w14:paraId="2F85061B" w14:textId="3A7983CC"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Sửa đổi điểm c khoản 1 Điều 6 Quyết định số 68/QĐ-UBND cho phù hợp điểm b khoản 2 Điều 46 Nghị định số 99/2021/NĐ-CP ngày 11/11/2021 của Chính phủ.</w:t>
            </w:r>
          </w:p>
        </w:tc>
        <w:tc>
          <w:tcPr>
            <w:tcW w:w="2126" w:type="dxa"/>
          </w:tcPr>
          <w:p w14:paraId="1D47FB26" w14:textId="58B7115E"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1EDCB20F" w14:textId="77777777" w:rsidTr="00A40329">
        <w:trPr>
          <w:cantSplit/>
          <w:trHeight w:val="231"/>
        </w:trPr>
        <w:tc>
          <w:tcPr>
            <w:tcW w:w="559" w:type="dxa"/>
          </w:tcPr>
          <w:p w14:paraId="723D1FE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2DFD8363" w14:textId="464BBB44"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Bến Tre</w:t>
            </w:r>
          </w:p>
        </w:tc>
        <w:tc>
          <w:tcPr>
            <w:tcW w:w="851" w:type="dxa"/>
          </w:tcPr>
          <w:p w14:paraId="71A635B8" w14:textId="625BFD10"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067BBFF" w14:textId="5FC0993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76A3EBB1" w14:textId="06290444"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Quy chế tổ chức và hoạt động của Quỹ phòng, chống thiên tai trên địa bàn tỉnh Bến Tre ban hành tại Quyết định số 11/2021/QĐ ngày 30/3/2021 của UBND tỉnh Bến Tre đang căn cứ và trích dẫn áp dụng Nghị định 94/2014/NĐ-CP ngày ngày 17/10/2014 của Chính Phủ quy định về thành lập và quản lý Quỹ phòng, chống thiên tai và Nghị định 83/2019/NĐ-CP sửa đổi Nghị định 94/2014/NĐ-CP quy định về thành lập và quản lý Quỹ phòng, chống thiên tai đã hết hiệu lực ngày 15/09/2021, hiện tại được thay thế bởi </w:t>
            </w:r>
            <w:bookmarkStart w:id="10" w:name="_Hlk196140562"/>
            <w:r w:rsidRPr="00E24264">
              <w:rPr>
                <w:rFonts w:ascii="Times New Roman" w:eastAsia="Times New Roman" w:hAnsi="Times New Roman" w:cs="Times New Roman"/>
                <w:sz w:val="20"/>
                <w:szCs w:val="20"/>
              </w:rPr>
              <w:t>Nghị định số 78/2021/NĐ-CP ngày 01/8/2021 của Chính Phủ về thành lập và quản lý Quỹ phòng, chống thiên tai, nhưng chưa được Tỉnh rà soát sửa đổi Quyết định trên</w:t>
            </w:r>
            <w:bookmarkEnd w:id="10"/>
          </w:p>
        </w:tc>
        <w:tc>
          <w:tcPr>
            <w:tcW w:w="3827" w:type="dxa"/>
          </w:tcPr>
          <w:p w14:paraId="0995DF23" w14:textId="62C1F7C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Sửa đổi, bổ sung Quy chế tổ chức và hoạt động của Quỹ phòng, chống thiên tai trên địa bàn tỉnh Bến Tre ban hành tại Quyết định số 11/2021/QĐ ngày 30/3/2021 của UBND tỉnh Bến Tre đang căn cứ và trích dẫn áp dụng Nghị định 94/2014/NĐ-CP ngày ngày 17/10/2014 của Chính Phủ quy định về thành lập và quản lý Quỹ phòng, chống thiên tai và Nghị định 83/2019/NĐ-CP sửa đổi Nghị định 94/2014/NĐ-CP quy định về thành lập và quản lý Quỹ phòng, chống thiên tai đã hết hiệu lực ngày 15/09/2021, hiện tại được thay thế bởi Nghị định số 78/2021/NĐ-CP ngày 01/8/2021 của Chính Phủ về thành lập và quản lý Quỹ phòng, chống thiên tai, nhưng chưa được Tỉnh rà soát sửa đổi Quyết định trên.</w:t>
            </w:r>
          </w:p>
        </w:tc>
        <w:tc>
          <w:tcPr>
            <w:tcW w:w="2126" w:type="dxa"/>
          </w:tcPr>
          <w:p w14:paraId="559E02AD" w14:textId="0688F6D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và Báo cáo quyết toán ngân sách địa phương năm 2024 của tỉnh Bến Tre</w:t>
            </w:r>
          </w:p>
        </w:tc>
      </w:tr>
      <w:tr w:rsidR="00A40329" w:rsidRPr="00E24264" w14:paraId="31A5C3E7" w14:textId="77777777" w:rsidTr="00A40329">
        <w:trPr>
          <w:cantSplit/>
          <w:trHeight w:val="231"/>
        </w:trPr>
        <w:tc>
          <w:tcPr>
            <w:tcW w:w="559" w:type="dxa"/>
          </w:tcPr>
          <w:p w14:paraId="140564C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2DF75080" w14:textId="0BF2BEB5"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Trà Vinh</w:t>
            </w:r>
          </w:p>
        </w:tc>
        <w:tc>
          <w:tcPr>
            <w:tcW w:w="851" w:type="dxa"/>
          </w:tcPr>
          <w:p w14:paraId="03D8192B" w14:textId="51D014C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44A31DC" w14:textId="49CFC4E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584FAF05" w14:textId="17163F42"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Một số văn bản hướng dẫn của UBND tỉnh và HĐND tỉnh không còn phù hợp nhưng HDND tỉnh chưa ban hành văn bản điều chỉnh hoặc bãi bỏ theo thẩm quyền quy định tại khoản 1 Điều 19 Luật Tổ chức chính quyền địa phương năm 2015, cụ thể: Nghị quyết số 70/2006/NQ-HĐND ngày 08/12/2006 của HĐND tỉnh Quy định mức thu lệ phí cấp giấy, xác nhận thay đổi giấy chứng nhận quyền sở hữu nhà ở; lệ phí cấp giấy phép xây dựng; lệ phí cấp biển số nhà; </w:t>
            </w:r>
            <w:r w:rsidRPr="00E24264">
              <w:rPr>
                <w:rFonts w:ascii="Times New Roman" w:eastAsia="Times New Roman" w:hAnsi="Times New Roman" w:cs="Times New Roman"/>
                <w:sz w:val="20"/>
                <w:szCs w:val="20"/>
              </w:rPr>
              <w:lastRenderedPageBreak/>
              <w:t>phí xây dựng trong tỉnh Trà Vinh; Quyết định số 02/2007/QĐ-UBND ngày 19/01/2007 của UBND tỉnh ban hành mức thu lệ phí cấp giấy, xác nhận thay đổi giấy chứng nhận quyền sở hữu nhà ở; lệ phí cấp giấy phép xây dựng; phí xây dựng trong tỉnh Trà Vinh; Quyết định số 05/2014/QĐ-UBND ngày 25/01/2014 của UBND tỉnh Điều chỉnh mức thu lệ phí cấp giấy phép xây dựng trên địa bàn tỉnh Trà Vinh nêu tại khoản 1.2 Điều 1 Quyết định số 02/2007/QĐ-UBND ngày 19/01/2007 của UBND tỉnh.</w:t>
            </w:r>
          </w:p>
          <w:p w14:paraId="7D6770FA" w14:textId="77D4A38D" w:rsidR="00A40329" w:rsidRPr="00E24264" w:rsidRDefault="00A40329" w:rsidP="001E0652">
            <w:pPr>
              <w:spacing w:after="0" w:line="240" w:lineRule="auto"/>
              <w:jc w:val="both"/>
              <w:rPr>
                <w:rFonts w:ascii="Times New Roman" w:eastAsia="Times New Roman" w:hAnsi="Times New Roman" w:cs="Times New Roman"/>
                <w:sz w:val="20"/>
                <w:szCs w:val="20"/>
              </w:rPr>
            </w:pPr>
          </w:p>
        </w:tc>
        <w:tc>
          <w:tcPr>
            <w:tcW w:w="3827" w:type="dxa"/>
          </w:tcPr>
          <w:p w14:paraId="04661F89" w14:textId="44FE2D98"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Ban hành văn bản sửa đổi Nghị quyết số 70/2006/NQ-HĐND ngày 08/12/2006 của HĐND tỉnh quy định mức thu lệ phí cấp giấy, xác nhận thay đổi giấy chứng nhận quyền sở hữu nhà ở; lệ phí cấp giấy phép xây dựng; lệ phí cấp biển số nhà; phí xây dựng trong tỉnh Trà Vinh; </w:t>
            </w:r>
          </w:p>
        </w:tc>
        <w:tc>
          <w:tcPr>
            <w:tcW w:w="2126" w:type="dxa"/>
          </w:tcPr>
          <w:p w14:paraId="4E90297B" w14:textId="241BED3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5CD46FDC" w14:textId="1A96E5F3"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w:t>
            </w:r>
            <w:r w:rsidRPr="00E24264">
              <w:rPr>
                <w:rFonts w:ascii="Times New Roman" w:eastAsia="Times New Roman" w:hAnsi="Times New Roman" w:cs="Times New Roman"/>
                <w:sz w:val="20"/>
                <w:szCs w:val="20"/>
              </w:rPr>
              <w:lastRenderedPageBreak/>
              <w:t>2021-2024 tại tỉnh Trà Vinh; Kết quả định giá và xử lý các vấn đề tài chính đối với Ban Quản lý Bến xe khách Trà Vinh để chuyển thành công ty cổ phần</w:t>
            </w:r>
          </w:p>
        </w:tc>
      </w:tr>
      <w:tr w:rsidR="00A40329" w:rsidRPr="00E24264" w14:paraId="52793A28" w14:textId="77777777" w:rsidTr="00A40329">
        <w:trPr>
          <w:cantSplit/>
          <w:trHeight w:val="231"/>
        </w:trPr>
        <w:tc>
          <w:tcPr>
            <w:tcW w:w="559" w:type="dxa"/>
          </w:tcPr>
          <w:p w14:paraId="54D23108"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EAFDD66" w14:textId="07210073"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Trà Vinh</w:t>
            </w:r>
          </w:p>
        </w:tc>
        <w:tc>
          <w:tcPr>
            <w:tcW w:w="851" w:type="dxa"/>
          </w:tcPr>
          <w:p w14:paraId="5BCD67C5" w14:textId="181AE417"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7212E8F9" w14:textId="5AAD158E" w:rsidR="00A40329" w:rsidRPr="00E24264" w:rsidRDefault="00A40329" w:rsidP="001E065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5A8094B0" w14:textId="2DCC3C7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Nghị quyết 32/2017/NQ-HĐND ngày 13/7/2017 của HĐND tỉnh Quy định về lệ phí cấp giấy phép xây dựng trên địa bàn tỉnh Trà Vinh, Nghị quyết 25/2017/NQ-HĐND ngày 13/7/2017 của HĐND tỉnh Quy định về lệ phí đăng ký kinh doanh trên địa bàn tỉnh Trà Vinh đang căn cứ Thông tư số 250/2016/TT-BTC ngày 11/11/2016 đã hết hiệu lực ngày 13/01/2020, thay thế bởi Thông tư số 85/2019/TT-BTC ngày 29/11/2019 của Bộ trưởng Bộ Tài chính hướng dẫn về phí và lệ phí thuộc thẩm quyền quyết định của HĐND tỉnh, thành phố trực thuộc Trung ương. Tuy nhiên, Tỉnh chưa ban hành văn bản sửa đổi.</w:t>
            </w:r>
          </w:p>
        </w:tc>
        <w:tc>
          <w:tcPr>
            <w:tcW w:w="3827" w:type="dxa"/>
          </w:tcPr>
          <w:p w14:paraId="11D50413" w14:textId="070D1935"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văn bản điều chỉnh, sửa đổi Nghị quyết số 32/2017/NQ-HĐND ngày 13/7/2017 của HĐND tỉnh Quy định về lệ phí cấp giấy phép xây dựng trên địa bàn tỉnh Trà Vinh, Nghị quyết số 25/2017/NQ-HĐND ngày 13/7/2017 của HĐND tỉnh Quy định về lệ phí đăng ký kinh doanh trên địa bàn tỉnh Trà Vinh, căn cứ: Thông tư số 250/2016/TT-BTC ngày 11/11/2016 của Bộ trưởng Bộ Tài chính hết hiệu lực ngày 13/01/2020.</w:t>
            </w:r>
          </w:p>
        </w:tc>
        <w:tc>
          <w:tcPr>
            <w:tcW w:w="2126" w:type="dxa"/>
          </w:tcPr>
          <w:p w14:paraId="60375AFB" w14:textId="77777777"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340A021A" w14:textId="46AA2CB2" w:rsidR="00A40329" w:rsidRPr="00E24264" w:rsidRDefault="00A40329" w:rsidP="001E065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27B1878E" w14:textId="77777777" w:rsidTr="00A40329">
        <w:trPr>
          <w:cantSplit/>
          <w:trHeight w:val="231"/>
        </w:trPr>
        <w:tc>
          <w:tcPr>
            <w:tcW w:w="559" w:type="dxa"/>
          </w:tcPr>
          <w:p w14:paraId="1A81718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2ECD5C1" w14:textId="347FB4C0"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Trà Vinh</w:t>
            </w:r>
          </w:p>
        </w:tc>
        <w:tc>
          <w:tcPr>
            <w:tcW w:w="851" w:type="dxa"/>
          </w:tcPr>
          <w:p w14:paraId="02D1302C" w14:textId="2245EB64"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E31C08F" w14:textId="6F64134C"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45B4E6BF" w14:textId="56368EED"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Phí sử dụng tạm thời lòng đường, hè phố chưa được địa phương ban hành theo quy định tại Điều 2 Thông tư số 85/2019/TT-BTC ngày 29/11/2019 của Bộ Tài chính.</w:t>
            </w:r>
          </w:p>
        </w:tc>
        <w:tc>
          <w:tcPr>
            <w:tcW w:w="3827" w:type="dxa"/>
          </w:tcPr>
          <w:p w14:paraId="48051217" w14:textId="3C2DFC6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Xem xét ban hành Phí sử dụng tạm thời lòng đường, hè phố theo quy định tại Điều 2 Thông tư số 85/2019/TT-BTC ngày 29/11/2019 của Bộ Tài chính</w:t>
            </w:r>
          </w:p>
        </w:tc>
        <w:tc>
          <w:tcPr>
            <w:tcW w:w="2126" w:type="dxa"/>
          </w:tcPr>
          <w:p w14:paraId="76B04AC3"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0593DAFE" w14:textId="643109BB"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3A704B65" w14:textId="77777777" w:rsidTr="00A40329">
        <w:trPr>
          <w:cantSplit/>
          <w:trHeight w:val="231"/>
        </w:trPr>
        <w:tc>
          <w:tcPr>
            <w:tcW w:w="559" w:type="dxa"/>
          </w:tcPr>
          <w:p w14:paraId="2D2237B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4BF5DB1" w14:textId="6D453EBF"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Trà Vinh</w:t>
            </w:r>
          </w:p>
        </w:tc>
        <w:tc>
          <w:tcPr>
            <w:tcW w:w="851" w:type="dxa"/>
          </w:tcPr>
          <w:p w14:paraId="0C7A015B" w14:textId="14851435"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3F92C06C" w14:textId="5065019B"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7BECCA32" w14:textId="656FE86E"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HĐND tỉnh chưa phân cấp thẩm quyền quyết định phê duyệt nhiệm vụ, kinh phí thực hiện cải tạo, nâng cấp, mở rộng, xây dựng mới hạng mục công trình trong các dự án đã đầu tư xây dựng của cơ quan, đơn vị thuộc phạm vi quản lý của địa phương theo quy định tại điểm b </w:t>
            </w:r>
            <w:r w:rsidRPr="00E24264">
              <w:rPr>
                <w:rFonts w:ascii="Times New Roman" w:eastAsia="Times New Roman" w:hAnsi="Times New Roman" w:cs="Times New Roman"/>
                <w:sz w:val="20"/>
                <w:szCs w:val="20"/>
              </w:rPr>
              <w:lastRenderedPageBreak/>
              <w:t>khoản 2 Điều 8 Nghị định số 138/2024/NĐ-CP ngày 24/10/2024 của Chính phủ (theo giải trình: Nghị định số 138/2024/NĐ-CP có hiệu lực từ tháng 10/2024 sau thời gian lập dự toán trình HĐND phê duyệt nên đơn vị chưa thực hiện trình tự thủ tục theo quy định; Bộ Tài chính đang dự thảo quy định thay thế Nghị định số 138/2024/NĐ-CP nên đơn vị chưa tham mưu HĐND tỉnh ban hành Nghị quyết).</w:t>
            </w:r>
          </w:p>
        </w:tc>
        <w:tc>
          <w:tcPr>
            <w:tcW w:w="3827" w:type="dxa"/>
          </w:tcPr>
          <w:p w14:paraId="4615CDA2" w14:textId="2E1E1701"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Ban hành quyết định hoặc quy định phân cấp thẩm quyền quyết định phê duyệt nhiệm vụ và kinh phí thực hiện cải tạo, nâng cấp, mở rộng, xây dựng mới hạng mục công trình </w:t>
            </w:r>
            <w:r w:rsidRPr="00E24264">
              <w:rPr>
                <w:rFonts w:ascii="Times New Roman" w:eastAsia="Times New Roman" w:hAnsi="Times New Roman" w:cs="Times New Roman"/>
                <w:sz w:val="20"/>
                <w:szCs w:val="20"/>
              </w:rPr>
              <w:lastRenderedPageBreak/>
              <w:t>trong các dự án đã đầu tư xây dựng của cơ quan, đơn vị thuộc phạm vi quản lý của địa phương (theo quy định tại điểm b khoản 2 Điều 8 Nghị định số 138/2024/NĐ-CP ngày 24/10/2024 của Chính phủ, hiện nay là b khoản 2 Điều 8 Nghị định số 98/2025/NĐ-CP ngày 06/5/2025 của Chính phủ).</w:t>
            </w:r>
          </w:p>
        </w:tc>
        <w:tc>
          <w:tcPr>
            <w:tcW w:w="2126" w:type="dxa"/>
          </w:tcPr>
          <w:p w14:paraId="7C77FBF9"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BCKT Kiểm toán ngân sách địa phương năm 2024; Chuyên đề việc quản lý, sử dụng</w:t>
            </w:r>
          </w:p>
          <w:p w14:paraId="4D7EA83A" w14:textId="220A7971"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5C60FC92" w14:textId="77777777" w:rsidTr="00A40329">
        <w:trPr>
          <w:cantSplit/>
          <w:trHeight w:val="231"/>
        </w:trPr>
        <w:tc>
          <w:tcPr>
            <w:tcW w:w="559" w:type="dxa"/>
          </w:tcPr>
          <w:p w14:paraId="69ACB88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223040A7"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302D1B30"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D78D61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val="restart"/>
          </w:tcPr>
          <w:p w14:paraId="2FB9AEB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Một số văn bản hướng dẫn của UBND tỉnh và HĐND tỉnh không còn phù hợp nhưng HDND tỉnh chưa ban hành văn bản điều chỉnh hoặc bãi bỏ theo thẩm quyền quy định tại khoản 1 Điều 19 Luật Tổ chức chính quyền địa phương năm 2015, cụ thể: Nghị quyết số 70/2006/NQ-HĐND ngày 08/12/2006 của HĐND tỉnh Quy định mức thu lệ phí cấp giấy, xác nhận thay đổi giấy chứng nhận quyền sở hữu nhà ở; lệ phí cấp giấy phép xây dựng; lệ phí cấp biển số nhà; phí xây dựng trong tỉnh Trà Vinh; Quyết định số 02/2007/QĐ-UBND ngày 19/01/2007 của UBND tỉnh ban hành mức thu lệ phí cấp giấy, xác nhận thay đổi giấy chứng nhận quyền sở hữu nhà ở; lệ phí cấp giấy phép xây dựng; phí xây dựng trong tỉnh Trà Vinh; Quyết định số 05/2014/QĐ-UBND ngày 25/01/2014 của UBND tỉnh Điều chỉnh mức thu lệ phí cấp giấy phép xây dựng trên địa bàn tỉnh Trà Vinh nêu tại khoản 1.2 Điều 1 Quyết định số 02/2007/QĐ-UBND ngày 19/01/2007 của UBND tỉnh.</w:t>
            </w:r>
          </w:p>
          <w:p w14:paraId="01702FBF"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UBND tỉnh Trà Vinh chưa ban hành kế hoạch thực hiện chiến lược cho từng giai đoạn 5 năm và hàng năm của địa phương theo quy định tại điểm l mục IV Nghị quyết số 28/NQ-CP ngày 03/3/2021 của Chính phủ về ban hành Chiến lược quốc gia về bình đẳng giới giai đoạn 2021-2030.</w:t>
            </w:r>
          </w:p>
          <w:p w14:paraId="47E46BA2"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chưa ban hành tiêu chuẩn, định mức xe ô tô chuyên dùng của cơ quan, tổ chức, đơn vị thuộc phạm vi quản lý của địa phương theo quy định tại điểm b khoản 1 Điều 17 Nghị định số 72/2023/NĐ-CP</w:t>
            </w:r>
          </w:p>
        </w:tc>
        <w:tc>
          <w:tcPr>
            <w:tcW w:w="3827" w:type="dxa"/>
          </w:tcPr>
          <w:p w14:paraId="2101F701"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văn bản bãi bỏ, bổ sung, điều chỉnh theo thẩm quyền quy định tại khoản 1 Điều 19 Luật Tổ chức chính quyền địa phương năm 2015 đối với các Quyết định do UBND tỉnh ban hành không còn phù hợp, gồm:</w:t>
            </w:r>
          </w:p>
          <w:p w14:paraId="636D9570"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(i) Bãi bỏ Quyết định số 02/2007/QĐ-UBND ngày 19/01/2007 của UBND tỉnh ban hành mức thu lệ phí cấp giấy, xác nhận thay đổi giấy chứng nhận quyền sở hữu nhà ở; lệ phí cấp giấy phép xây dựng; phí xây dựng trong tỉnh Trà Vinh; Quyết định số 05/2014/QĐ-UBND ngày 25/01/2014 của UBND tỉnh điều chỉnh mức thu lệ phí cấp giấy phép xây dựng trên địa bàn tỉnh Trà Vinh nêu tại khoản 1.2 Điều 1 Quyết định số 02/2007/QĐ-UBND ngày 19/01/2007 của UBND tỉnh.</w:t>
            </w:r>
          </w:p>
          <w:p w14:paraId="7E0ACCBD"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7F5D73CE"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3F309D7F"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5890C11A" w14:textId="77777777" w:rsidTr="00A40329">
        <w:trPr>
          <w:cantSplit/>
          <w:trHeight w:val="231"/>
        </w:trPr>
        <w:tc>
          <w:tcPr>
            <w:tcW w:w="559" w:type="dxa"/>
          </w:tcPr>
          <w:p w14:paraId="0FC64B0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4538104C"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12D61086"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3944A126"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tcPr>
          <w:p w14:paraId="18E6F8B0"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6FDF2F28"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(ii) Xem xét ban hành giá tính lệ phí trước bạ đối với nhà theo quy định tại Nghị định số 10/2022/NĐ-CP ngày 15/01/2022 của Chính phủ; kế hoạch thực hiện chiến lược cho từng giai đoạn 5 năm và hàng năm của địa phương theo quy định tại điểm l mục IV Nghị quyết số 28/NQ-CP ngày 03/3/2021 của Chính phủ về ban hành Chiến lược quốc gia về bình đẳng giới giai đoạn 2021-2030. </w:t>
            </w:r>
          </w:p>
          <w:p w14:paraId="60210CB6"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6EF193A2"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44B98ECF"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1C08E9B5" w14:textId="77777777" w:rsidTr="00A40329">
        <w:trPr>
          <w:cantSplit/>
          <w:trHeight w:val="231"/>
        </w:trPr>
        <w:tc>
          <w:tcPr>
            <w:tcW w:w="559" w:type="dxa"/>
          </w:tcPr>
          <w:p w14:paraId="444CD9A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34712B8"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68A5ED0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08299EE"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tcPr>
          <w:p w14:paraId="6D581361"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66EC5AD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(iii) Ban hành quy định hoặc phân cấp thẩm quyền quy định chế độ, tiêu chuẩn, định mức kinh tế-kỹ thuật bảo dưỡng, sửa chữa áp dụng đối với tài sản công tại các cơ quan thuộc phạm vi quản lý theo điểm b khoản 3 Điều 3 Thông tư số 65/2021/TT-BTC.</w:t>
            </w:r>
          </w:p>
          <w:p w14:paraId="1466960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3E9701F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4232E54D"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171E6961" w14:textId="77777777" w:rsidTr="00A40329">
        <w:trPr>
          <w:cantSplit/>
          <w:trHeight w:val="231"/>
        </w:trPr>
        <w:tc>
          <w:tcPr>
            <w:tcW w:w="559" w:type="dxa"/>
          </w:tcPr>
          <w:p w14:paraId="1CFA7C2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078BA61"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42930483"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D20F74C"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tcPr>
          <w:p w14:paraId="14BBF30E"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09682EC4"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(iv) Xem xét điều chỉnh Quyết định số 298/QĐ-UBND ngày 09/02/2021 của UBND tỉnh Trà Vinh và Hướng dẫn liên ngành số 01/HDLN-SKHĐT-STC-SXD-STNMT ngày 26/10/2022 của Sở Kế hoạch và đầu tư - Sở Tài chính - Sở Xây dựng- Sở Tài nguyên và Môi trường; Quyết định số 04/2021/QĐ-UBND ngày 08/02/2021 của UBND tỉnh Trà Vinh quy định về danh mục, thời gian sử dụng và tỷ lệ hao mòn tài sản cố định vô hình thuộc phạm vi quản lý của tỉnh Trà Vinh phù hợp với các văn bản pháp luật hiện hành; Quyết định số 11/2020/QĐ ngày 04/6/2020 của UBND tỉnh Trà Vinh Quy chế hoạt động, quản lý và sử dụng Quỹ phòng, chống thiên tai trên địa bàn tỉnh Trà Vinh ban hành; Quyết định số 1357/QĐ-UBND ngày 31/7/2017 của UBND tỉnh Trà Vinh về việc ban hành định mức kinh tế - kỹ thuật gieo ươm cây giống lâm nghiệp và định mức kinh tế - kỹ thuật trồng, chăm sóc và bảo vệ rừng trên địa bàn tỉnh Trà Vinh theo Quyết định số 1206/QĐ-BNN-TCLN ngày 08/4/2016 và Quyết định số 5365/QĐ-BNN-TCLN ngày 23/12/2016.</w:t>
            </w:r>
          </w:p>
          <w:p w14:paraId="7CD6BE09"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55455F3F"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6163D704"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02B8BD07" w14:textId="77777777" w:rsidTr="00A40329">
        <w:trPr>
          <w:cantSplit/>
          <w:trHeight w:val="231"/>
        </w:trPr>
        <w:tc>
          <w:tcPr>
            <w:tcW w:w="559" w:type="dxa"/>
          </w:tcPr>
          <w:p w14:paraId="04BD6B4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1CA6A99"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7D68528F"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6343635"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tcPr>
          <w:p w14:paraId="3C104547"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573E8D3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(v) Xem xét sửa đổi, ban hành quyết định thay thế Quyết định số 1931/QĐ-UBND ngày 30/9/2022 của UBND tỉnh Trà Vinh về việc ban hành giá tiêu thụ nước sạch sinh hoạt trên địa bàn tỉnh Trà Vinh </w:t>
            </w:r>
          </w:p>
          <w:p w14:paraId="15BC10F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6AE4482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52B0A0E9"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071A51C4" w14:textId="77777777" w:rsidTr="00A40329">
        <w:trPr>
          <w:cantSplit/>
          <w:trHeight w:val="231"/>
        </w:trPr>
        <w:tc>
          <w:tcPr>
            <w:tcW w:w="559" w:type="dxa"/>
          </w:tcPr>
          <w:p w14:paraId="0438595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0C8F186"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Trà Vinh</w:t>
            </w:r>
          </w:p>
        </w:tc>
        <w:tc>
          <w:tcPr>
            <w:tcW w:w="851" w:type="dxa"/>
          </w:tcPr>
          <w:p w14:paraId="37E656A5"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A96D2A3"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hủy bỏ, điều chỉnh</w:t>
            </w:r>
          </w:p>
        </w:tc>
        <w:tc>
          <w:tcPr>
            <w:tcW w:w="5672" w:type="dxa"/>
            <w:vMerge/>
          </w:tcPr>
          <w:p w14:paraId="271B755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6371079B"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(vi) Ban hành Quyết định quy định số lượng, chủng loại xe ô tô theo tiêu chuẩn, định mức của từng Văn phòng cấp tỉnh … huyện, thị xã, thành phố thuộc tỉnh theo quy định tại điểm b khoản 6 Điều 8, chưa kịp thời ban hành tiêu chuẩn, định mức xe ô tô chuyên dùng của cơ quan, tổ chức, đơn vị thuộc phạm vi quản lý của địa phương (theo quy định tại điểm b khoản 1 Điều 17 Nghị định số 72/2023/NĐ-CP ngày 26/9/2023 của Chính phủ).</w:t>
            </w:r>
          </w:p>
        </w:tc>
        <w:tc>
          <w:tcPr>
            <w:tcW w:w="2126" w:type="dxa"/>
          </w:tcPr>
          <w:p w14:paraId="023DBB53"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154815DA"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2375E56E" w14:textId="77777777" w:rsidTr="00A40329">
        <w:trPr>
          <w:cantSplit/>
          <w:trHeight w:val="231"/>
        </w:trPr>
        <w:tc>
          <w:tcPr>
            <w:tcW w:w="559" w:type="dxa"/>
          </w:tcPr>
          <w:p w14:paraId="17BF747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26E2DB49"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thị xã Duyên Hải</w:t>
            </w:r>
          </w:p>
        </w:tc>
        <w:tc>
          <w:tcPr>
            <w:tcW w:w="851" w:type="dxa"/>
          </w:tcPr>
          <w:p w14:paraId="680336E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E5DAB95"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Hủy bỏ</w:t>
            </w:r>
          </w:p>
        </w:tc>
        <w:tc>
          <w:tcPr>
            <w:tcW w:w="5672" w:type="dxa"/>
          </w:tcPr>
          <w:p w14:paraId="4A8C5C67"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HĐND thị xã Duyên Hải chưa hủy bỏ Nghị quyết về việc giao cho UBND thị xã quyết định chủ trương đầu tư dự án nhóm B, nhóm C do căn cứ theo Luật Đầu tư công năm 2019 đã hết hiệu lực từ 01/01/2025 và không còn phù hợp với quy định tại điểm a khoản 8 Điều 18 Luật Đầu tư công năm 2024.</w:t>
            </w:r>
          </w:p>
          <w:p w14:paraId="05C1BD21"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74814911"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Hủy bỏ Nghị quyết số 132/NQ-HĐND ngày 25/5/2020 về việc giao cho UBND thị xã quyết định chủ trương đầu tư dự án nhóm B, nhóm C do căn cứ theo Luật Đầu tư công năm 2019 đã hết hiệu lực từ 01/01/2025 và không còn phù hợp với quy định tại điểm a khoản 8 Điều 18 Luật Đầu tư công năm 2024;</w:t>
            </w:r>
          </w:p>
          <w:p w14:paraId="1EDD0637"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20443B5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74A4ED10"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2021-2024 tại tỉnh Trà Vinh; Kết quả định giá và xử lý các vấn đề tài chính đối với Ban Quản lý Bến xe khách Trà </w:t>
            </w:r>
            <w:r w:rsidRPr="00E24264">
              <w:rPr>
                <w:rFonts w:ascii="Times New Roman" w:eastAsia="Times New Roman" w:hAnsi="Times New Roman" w:cs="Times New Roman"/>
                <w:sz w:val="20"/>
                <w:szCs w:val="20"/>
              </w:rPr>
              <w:lastRenderedPageBreak/>
              <w:t>Vinh để chuyển thành công ty cổ phần</w:t>
            </w:r>
          </w:p>
        </w:tc>
      </w:tr>
      <w:tr w:rsidR="00A40329" w:rsidRPr="00E24264" w14:paraId="5C65D48B" w14:textId="77777777" w:rsidTr="00A40329">
        <w:trPr>
          <w:cantSplit/>
          <w:trHeight w:val="231"/>
        </w:trPr>
        <w:tc>
          <w:tcPr>
            <w:tcW w:w="559" w:type="dxa"/>
          </w:tcPr>
          <w:p w14:paraId="7CEF834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B8C1E3A"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UBND thị xã Duyên Hải</w:t>
            </w:r>
          </w:p>
        </w:tc>
        <w:tc>
          <w:tcPr>
            <w:tcW w:w="851" w:type="dxa"/>
          </w:tcPr>
          <w:p w14:paraId="19704C0C"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04222BF3"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vMerge w:val="restart"/>
          </w:tcPr>
          <w:p w14:paraId="52F65464" w14:textId="4F99642C" w:rsidR="00A40329" w:rsidRPr="00E24264" w:rsidRDefault="00A40329" w:rsidP="00DA6D22">
            <w:pPr>
              <w:spacing w:after="0" w:line="240" w:lineRule="auto"/>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 xml:space="preserve">Một số văn bản căn cứ trên các văn bản đã hết hiệu lực, quy định liên quan đến các đơn vị đã giải thể, sáp nhập không còn phù hợp: Quyết định số 2737/QĐ-UBND ngày 15/11/2017 của UBND thị xã Duyên Hải về Quy chế tổ chức, hoạt động và mức chi của Quỹ an sinh xã hội thị xã Duyên Hải; Quyết định số 2001/QĐ-UBND ngày 04/12/2024 của UBND thị xã Duyên Hải về thay đổi Trưởng ban, Phó Trưởng ban và Ủy viên Ban điều hành Quỹ an sinh xã hội; </w:t>
            </w:r>
          </w:p>
        </w:tc>
        <w:tc>
          <w:tcPr>
            <w:tcW w:w="3827" w:type="dxa"/>
          </w:tcPr>
          <w:p w14:paraId="4F105260" w14:textId="4AA4BC4F"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Xem xét điều chỉnh, sửa đổi Quyết định số 2737/QĐ-UBND ngày 15/11/2017 của UBND thị xã Duyên Hải về Quy chế tổ chức, hoạt động và mức chi của Quỹ an sinh xã hội thị xã Duyên Hải phù hợp với văn bản hiện hành</w:t>
            </w:r>
          </w:p>
        </w:tc>
        <w:tc>
          <w:tcPr>
            <w:tcW w:w="2126" w:type="dxa"/>
          </w:tcPr>
          <w:p w14:paraId="403502BE"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4CB71302"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7A6E8A9A" w14:textId="77777777" w:rsidTr="00A40329">
        <w:trPr>
          <w:cantSplit/>
          <w:trHeight w:val="231"/>
        </w:trPr>
        <w:tc>
          <w:tcPr>
            <w:tcW w:w="559" w:type="dxa"/>
          </w:tcPr>
          <w:p w14:paraId="4997B688"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C4257AC"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thị xã Duyên Hải</w:t>
            </w:r>
          </w:p>
        </w:tc>
        <w:tc>
          <w:tcPr>
            <w:tcW w:w="851" w:type="dxa"/>
          </w:tcPr>
          <w:p w14:paraId="782A3A45"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070A72A3"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vMerge/>
          </w:tcPr>
          <w:p w14:paraId="36DC9D93"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4895D962"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Quyết định số 2001/QĐ-UBND ngày 04/12/2024 của UBND thị xã Duyên Hải về thay đổi Trưởng ban, Phó Trưởng ban và Ủy viên Ban điều hành Quỹ an sinh xã hội phù hợp với văn bản hiện hành</w:t>
            </w:r>
          </w:p>
        </w:tc>
        <w:tc>
          <w:tcPr>
            <w:tcW w:w="2126" w:type="dxa"/>
          </w:tcPr>
          <w:p w14:paraId="37C15B4B"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0FD82C28"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4A23EB3E" w14:textId="77777777" w:rsidTr="00A40329">
        <w:trPr>
          <w:cantSplit/>
          <w:trHeight w:val="231"/>
        </w:trPr>
        <w:tc>
          <w:tcPr>
            <w:tcW w:w="559" w:type="dxa"/>
          </w:tcPr>
          <w:p w14:paraId="27CE1E3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2969C03B"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thị xã Duyên Hải</w:t>
            </w:r>
          </w:p>
        </w:tc>
        <w:tc>
          <w:tcPr>
            <w:tcW w:w="851" w:type="dxa"/>
          </w:tcPr>
          <w:p w14:paraId="59005D4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7E06DEA1"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897BA07"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Chưa thành lập Hội đồng thẩm định hoặc giao đơn vị có chức năng để thẩm định nguồn vốn và khả năng cân đối vốn đối với đầu tư công thuộc cấp mình quản lý theo quy định tại điểm b khoản 1 Điều 27 Luật Đầu tư công năm 2019.</w:t>
            </w:r>
          </w:p>
        </w:tc>
        <w:tc>
          <w:tcPr>
            <w:tcW w:w="3827" w:type="dxa"/>
          </w:tcPr>
          <w:p w14:paraId="1FC87BFB"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Ban hành văn bản thành lập Hội đồng thẩm định hoặc giao đơn vị có chức năng để thẩm định báo cáo đề xuất chủ trương đầu tư, thẩm định nguồn vốn và khả năng cân đối vốn đối với chương trình đầu tư công thuộc cấp mình quản lý theo đúng quy định tại điểm b khoản 1 Điều 27 Luật Đầu tư công năm 2024</w:t>
            </w:r>
          </w:p>
        </w:tc>
        <w:tc>
          <w:tcPr>
            <w:tcW w:w="2126" w:type="dxa"/>
          </w:tcPr>
          <w:p w14:paraId="69491310"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336D4692"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2021-2024 tại tỉnh Trà Vinh; Kết quả định giá và xử lý các vấn đề tài chính đối với Ban Quản </w:t>
            </w:r>
            <w:r w:rsidRPr="00E24264">
              <w:rPr>
                <w:rFonts w:ascii="Times New Roman" w:eastAsia="Times New Roman" w:hAnsi="Times New Roman" w:cs="Times New Roman"/>
                <w:sz w:val="20"/>
                <w:szCs w:val="20"/>
              </w:rPr>
              <w:lastRenderedPageBreak/>
              <w:t>lý Bến xe khách Trà Vinh để chuyển thành công ty cổ phần</w:t>
            </w:r>
          </w:p>
        </w:tc>
      </w:tr>
      <w:tr w:rsidR="00A40329" w:rsidRPr="00E24264" w14:paraId="57E6EE62" w14:textId="77777777" w:rsidTr="00A40329">
        <w:trPr>
          <w:cantSplit/>
          <w:trHeight w:val="231"/>
        </w:trPr>
        <w:tc>
          <w:tcPr>
            <w:tcW w:w="559" w:type="dxa"/>
          </w:tcPr>
          <w:p w14:paraId="085662B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516786C"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huyện Châu Thành</w:t>
            </w:r>
          </w:p>
        </w:tc>
        <w:tc>
          <w:tcPr>
            <w:tcW w:w="851" w:type="dxa"/>
          </w:tcPr>
          <w:p w14:paraId="7A16B4ED"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427E54D"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val="restart"/>
          </w:tcPr>
          <w:p w14:paraId="1DBEDDAA" w14:textId="19BF1E6E"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Một số văn bản căn cứ trên các văn bản đã hết hiệu lực, quy định liên quan đến các đơn vị đã giải thể, sáp nhập không còn phù hợp: Quyết định số 3238/QĐ-UBND ngày 29/7/2022 của UBND huyện Châu Thành về việc thành lập Ban Quản lý Quỹ Đền ơn đáp nghĩa huyện; Quyết định số 840/QĐ-UBND ngày 15/7/2024 của UBND huyện Châu Thành về việc thu, nộp Quỹ phòng, chống thiên tai trên địa bàn huyện Châu Thành năm 2024; Quyết định số 249/QĐ-UBND ngày 29/10/2024 của UBND Thị trấn Châu Thành kiện toàn Ban quản lý Quỹ đền ơn đáp nghĩa thị trấn Châu Thành.</w:t>
            </w:r>
          </w:p>
          <w:p w14:paraId="1994A8E5"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77201E92"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Chỉ đạo cơ quan liên quan rà soát điều chỉnh Quyết định số 3238/QĐ-UBND ngày 29/7/2022 của UBND huyện Châu Thành về việc thành lập Ban Quản lý Quỹ Đền ơn đáp nghĩa huyện</w:t>
            </w:r>
          </w:p>
        </w:tc>
        <w:tc>
          <w:tcPr>
            <w:tcW w:w="2126" w:type="dxa"/>
          </w:tcPr>
          <w:p w14:paraId="2641CEE3"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51344957" w14:textId="77777777" w:rsidTr="00A40329">
        <w:trPr>
          <w:cantSplit/>
          <w:trHeight w:val="231"/>
        </w:trPr>
        <w:tc>
          <w:tcPr>
            <w:tcW w:w="559" w:type="dxa"/>
          </w:tcPr>
          <w:p w14:paraId="13A3CD4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E064F78" w14:textId="2739B101"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huyện Châu Thành</w:t>
            </w:r>
          </w:p>
        </w:tc>
        <w:tc>
          <w:tcPr>
            <w:tcW w:w="851" w:type="dxa"/>
          </w:tcPr>
          <w:p w14:paraId="2323770D" w14:textId="6B483E9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29AFA00" w14:textId="4D960EC8"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tcPr>
          <w:p w14:paraId="2E75A865"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72C9EEB9"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Chỉ đạo cơ quan liên quan rà soát điều chỉnh Quyết định số 840/QĐ-UBND ngày 15/7/2024 của UBND huyện Châu Thành về việc thu, nộp Quỹ phòng, chống thiên tai trên địa bàn huyện Châu Thành năm 2024</w:t>
            </w:r>
          </w:p>
        </w:tc>
        <w:tc>
          <w:tcPr>
            <w:tcW w:w="2126" w:type="dxa"/>
          </w:tcPr>
          <w:p w14:paraId="47D82CB6"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4B38258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02377B3B" w14:textId="77777777" w:rsidTr="00A40329">
        <w:trPr>
          <w:cantSplit/>
          <w:trHeight w:val="231"/>
        </w:trPr>
        <w:tc>
          <w:tcPr>
            <w:tcW w:w="559" w:type="dxa"/>
          </w:tcPr>
          <w:p w14:paraId="5DEE63F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D7D36D9"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huyện Châu Thành</w:t>
            </w:r>
          </w:p>
        </w:tc>
        <w:tc>
          <w:tcPr>
            <w:tcW w:w="851" w:type="dxa"/>
          </w:tcPr>
          <w:p w14:paraId="67ADE6F1"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58189AA"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tcPr>
          <w:p w14:paraId="258AF7A1"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5F4AB028"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Chỉ đạo cơ quan liên quan rà soát điều chỉnh Quyết định số 249/QĐ-UBND ngày 29/10/2024 của UBND Thị trấn Châu Thành kiện toàn Ban quản lý Quỹ đền ơn đáp nghĩa thị trấn Châu Thành.</w:t>
            </w:r>
          </w:p>
        </w:tc>
        <w:tc>
          <w:tcPr>
            <w:tcW w:w="2126" w:type="dxa"/>
          </w:tcPr>
          <w:p w14:paraId="4F54D21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040D6560"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2021-2024 tại tỉnh Trà Vinh; Kết quả định giá và xử lý các vấn đề tài </w:t>
            </w:r>
            <w:r w:rsidRPr="00E24264">
              <w:rPr>
                <w:rFonts w:ascii="Times New Roman" w:eastAsia="Times New Roman" w:hAnsi="Times New Roman" w:cs="Times New Roman"/>
                <w:sz w:val="20"/>
                <w:szCs w:val="20"/>
              </w:rPr>
              <w:lastRenderedPageBreak/>
              <w:t>chính đối với Ban Quản lý Bến xe khách Trà Vinh để chuyển thành công ty cổ phần</w:t>
            </w:r>
          </w:p>
        </w:tc>
      </w:tr>
      <w:tr w:rsidR="00A40329" w:rsidRPr="00E24264" w14:paraId="39C986FA" w14:textId="77777777" w:rsidTr="00A40329">
        <w:trPr>
          <w:cantSplit/>
          <w:trHeight w:val="231"/>
        </w:trPr>
        <w:tc>
          <w:tcPr>
            <w:tcW w:w="559" w:type="dxa"/>
          </w:tcPr>
          <w:p w14:paraId="257F32C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BCC5D9B"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huyện Cầu Kè</w:t>
            </w:r>
          </w:p>
        </w:tc>
        <w:tc>
          <w:tcPr>
            <w:tcW w:w="851" w:type="dxa"/>
          </w:tcPr>
          <w:p w14:paraId="0A2FD535"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8131A2F"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val="restart"/>
          </w:tcPr>
          <w:p w14:paraId="3FE0654D"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Một số văn bản căn cứ trên các văn bản đã hết hiệu lực, quy định liên quan đến các đơn vị đã giải thể, sáp nhập không còn phù hợp: Quyết định số 3065/QĐ-UBND ngày 18/10/2018 của UBND huyện Cầu Kè về việc ban hành quy chế vận động, quản lý và sử dụng Quỹ An sinh xã hội huyện Cầu Kè; Quyết định số 2003/QĐ-UBND ngày 03/8/2022 của UBND huyện Cầu Kè về việc thành lập Ban quản lý Quỹ đền ơn đáp nghĩa huyện Cầu Kè.</w:t>
            </w:r>
          </w:p>
          <w:p w14:paraId="1E9B07DA"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3C88F79C"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 xml:space="preserve">Quyết định số 3065/QĐ-UBND ngày 18/10/2018 của UBND huyện Cầu Kè về việc ban hành quy chế vận động, quản lý và sử dụng Quỹ An sinh xã hội huyện Cầu Kè; </w:t>
            </w:r>
          </w:p>
          <w:p w14:paraId="6D8FE519"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2126" w:type="dxa"/>
          </w:tcPr>
          <w:p w14:paraId="4454F096"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099E71C1"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3D874A06" w14:textId="77777777" w:rsidTr="00A40329">
        <w:trPr>
          <w:cantSplit/>
          <w:trHeight w:val="231"/>
        </w:trPr>
        <w:tc>
          <w:tcPr>
            <w:tcW w:w="559" w:type="dxa"/>
          </w:tcPr>
          <w:p w14:paraId="034BE79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20012E7"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huyện Cầu Kè</w:t>
            </w:r>
          </w:p>
        </w:tc>
        <w:tc>
          <w:tcPr>
            <w:tcW w:w="851" w:type="dxa"/>
          </w:tcPr>
          <w:p w14:paraId="27E1DE3F"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F17D57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tcPr>
          <w:p w14:paraId="70649050"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5D0150B6"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Xem xét điều chỉnh Quyết định số 2003/QĐ-UBND ngày 03/8/2022 của UBND huyện Cầu Kè về việc thành lập Ban quản lý Quỹ đền ơn đáp nghĩa huyện Cầu Kè.</w:t>
            </w:r>
          </w:p>
        </w:tc>
        <w:tc>
          <w:tcPr>
            <w:tcW w:w="2126" w:type="dxa"/>
          </w:tcPr>
          <w:p w14:paraId="16823581"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1C4B521C"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421AB78E" w14:textId="77777777" w:rsidTr="00A40329">
        <w:trPr>
          <w:cantSplit/>
          <w:trHeight w:val="231"/>
        </w:trPr>
        <w:tc>
          <w:tcPr>
            <w:tcW w:w="559" w:type="dxa"/>
          </w:tcPr>
          <w:p w14:paraId="0A2F9DFA"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5FCC3278"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HĐND huyện Càng Long</w:t>
            </w:r>
          </w:p>
        </w:tc>
        <w:tc>
          <w:tcPr>
            <w:tcW w:w="851" w:type="dxa"/>
          </w:tcPr>
          <w:p w14:paraId="37B91DB4"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3B562BF"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Hủy bỏ</w:t>
            </w:r>
          </w:p>
        </w:tc>
        <w:tc>
          <w:tcPr>
            <w:tcW w:w="5672" w:type="dxa"/>
            <w:vMerge w:val="restart"/>
          </w:tcPr>
          <w:p w14:paraId="709A29DA"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rPr>
              <w:t>HĐND huyện Càng Long chưa hủy bỏ Nghị quyết về việc giao cho UBND huyện quyết định chủ trương đầu tư dự án nhóm B, nhóm C do căn cứ theo Luật Đầu tư công năm 2019 đã hết hiệu lực từ 01/01/2025 và không còn phù hợp với quy định tại điểm a khoản 8 Điều 18 Luật Đầu tư công năm 2024</w:t>
            </w:r>
          </w:p>
        </w:tc>
        <w:tc>
          <w:tcPr>
            <w:tcW w:w="3827" w:type="dxa"/>
          </w:tcPr>
          <w:p w14:paraId="654482AF"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 xml:space="preserve">Hủy bỏ Nghị quyết số 131/NQ-HĐND ngày 09/6/2020 về việc giao cho UBND huyện quyết định chủ trương đầu tư dự án nhóm nhóm C do không còn phù hợp theo quy định của Luật Đầu tư công năm 2024; </w:t>
            </w:r>
          </w:p>
        </w:tc>
        <w:tc>
          <w:tcPr>
            <w:tcW w:w="2126" w:type="dxa"/>
          </w:tcPr>
          <w:p w14:paraId="1056626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5D0988F8"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2021-2024 tại tỉnh Trà Vinh; Kết quả định giá </w:t>
            </w:r>
            <w:r w:rsidRPr="00E24264">
              <w:rPr>
                <w:rFonts w:ascii="Times New Roman" w:eastAsia="Times New Roman" w:hAnsi="Times New Roman" w:cs="Times New Roman"/>
                <w:sz w:val="20"/>
                <w:szCs w:val="20"/>
              </w:rPr>
              <w:lastRenderedPageBreak/>
              <w:t>và xử lý các vấn đề tài chính đối với Ban Quản lý Bến xe khách Trà Vinh để chuyển thành công ty cổ phần</w:t>
            </w:r>
          </w:p>
        </w:tc>
      </w:tr>
      <w:tr w:rsidR="00A40329" w:rsidRPr="00E24264" w14:paraId="1372F800" w14:textId="77777777" w:rsidTr="00A40329">
        <w:trPr>
          <w:cantSplit/>
          <w:trHeight w:val="231"/>
        </w:trPr>
        <w:tc>
          <w:tcPr>
            <w:tcW w:w="559" w:type="dxa"/>
          </w:tcPr>
          <w:p w14:paraId="1600A60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1EDC2B8"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HĐND huyện Càng Long</w:t>
            </w:r>
          </w:p>
        </w:tc>
        <w:tc>
          <w:tcPr>
            <w:tcW w:w="851" w:type="dxa"/>
          </w:tcPr>
          <w:p w14:paraId="0953C977"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E648BAE"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Hủy bỏ</w:t>
            </w:r>
          </w:p>
        </w:tc>
        <w:tc>
          <w:tcPr>
            <w:tcW w:w="5672" w:type="dxa"/>
            <w:vMerge/>
          </w:tcPr>
          <w:p w14:paraId="224F8DEB" w14:textId="77777777" w:rsidR="00A40329" w:rsidRPr="00E24264" w:rsidRDefault="00A40329" w:rsidP="00DA6D22">
            <w:pPr>
              <w:spacing w:after="0" w:line="240" w:lineRule="auto"/>
              <w:jc w:val="both"/>
              <w:rPr>
                <w:rFonts w:ascii="Times New Roman" w:eastAsia="Times New Roman" w:hAnsi="Times New Roman" w:cs="Times New Roman"/>
                <w:bCs/>
                <w:sz w:val="20"/>
                <w:szCs w:val="20"/>
              </w:rPr>
            </w:pPr>
          </w:p>
        </w:tc>
        <w:tc>
          <w:tcPr>
            <w:tcW w:w="3827" w:type="dxa"/>
          </w:tcPr>
          <w:p w14:paraId="61044603"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Hủy bỏ Nghị quyết số số 118/NQ-HĐND ngày 13/6/2024 về việc giao cho UBND huyện quyết định chủ trương đầu tư dự án nhóm nhóm B do không còn phù hợp theo quy định của Luật Đầu tư công năm 2024.</w:t>
            </w:r>
          </w:p>
        </w:tc>
        <w:tc>
          <w:tcPr>
            <w:tcW w:w="2126" w:type="dxa"/>
          </w:tcPr>
          <w:p w14:paraId="7BFED287"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79DF8564"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7D17F093" w14:textId="77777777" w:rsidTr="00A40329">
        <w:trPr>
          <w:cantSplit/>
          <w:trHeight w:val="231"/>
        </w:trPr>
        <w:tc>
          <w:tcPr>
            <w:tcW w:w="559" w:type="dxa"/>
          </w:tcPr>
          <w:p w14:paraId="3CA0D8F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1B041B8"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UBND huyện Càng Long</w:t>
            </w:r>
          </w:p>
        </w:tc>
        <w:tc>
          <w:tcPr>
            <w:tcW w:w="851" w:type="dxa"/>
          </w:tcPr>
          <w:p w14:paraId="61D5D5FB"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37EE97B"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val="restart"/>
          </w:tcPr>
          <w:p w14:paraId="16D008B9"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Một số văn bản căn cứ trên các văn bản đã hết hiệu lực, quy định liên quan đến các đơn vị đã giải thể, sáp nhập không còn phù hợp: Quyết định số 4867/QĐ-UBND ngày 23/12/2020 của UBND huyện Càng Long về ban hành quy chế hoạt động, quản lý và sử dụng quỹ phòng chống thiên tai trên địa bàn huyện Càng Long; Quyết định số 4029/QĐ-UBND ngày 09/11/2020 của UBND huyện Càng Long về việc kiện toàn Ban quản lý Quỹ đền ơn đáp nghĩa huyện Càng Long; Quyết định số 3289/QĐ-UBND ngày 09/9/2024 của UBND huyện Càng Long về việc kiện toàn Ban điều hành bảo vệ trẻ em huyện Càng Long.</w:t>
            </w:r>
          </w:p>
          <w:p w14:paraId="45EB7068"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74441F6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en-US"/>
              </w:rPr>
              <w:t>Xem xét điều chỉnh Quyết định số 4867/QĐ-UBND ngày 23/12/2020 của UBND huyện Càng Long về ban hành quy chế hoạt động, quản lý và sử dụng quỹ phòng chống thiên tai trên địa bàn huyện Càng Long;</w:t>
            </w:r>
          </w:p>
        </w:tc>
        <w:tc>
          <w:tcPr>
            <w:tcW w:w="2126" w:type="dxa"/>
          </w:tcPr>
          <w:p w14:paraId="747548D2"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5277861E"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r>
      <w:tr w:rsidR="00A40329" w:rsidRPr="00E24264" w14:paraId="10F960C1" w14:textId="77777777" w:rsidTr="00A40329">
        <w:trPr>
          <w:cantSplit/>
          <w:trHeight w:val="231"/>
        </w:trPr>
        <w:tc>
          <w:tcPr>
            <w:tcW w:w="559" w:type="dxa"/>
          </w:tcPr>
          <w:p w14:paraId="1A7535F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DA3C9E7" w14:textId="77777777" w:rsidR="00A40329" w:rsidRPr="00E24264" w:rsidRDefault="00A40329" w:rsidP="00DA6D22">
            <w:pPr>
              <w:spacing w:after="0" w:line="240" w:lineRule="auto"/>
              <w:jc w:val="center"/>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UBND huyện Càng Long</w:t>
            </w:r>
          </w:p>
        </w:tc>
        <w:tc>
          <w:tcPr>
            <w:tcW w:w="851" w:type="dxa"/>
          </w:tcPr>
          <w:p w14:paraId="2F856ADA"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C60EF0F" w14:textId="7777777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Điều chỉnh</w:t>
            </w:r>
          </w:p>
        </w:tc>
        <w:tc>
          <w:tcPr>
            <w:tcW w:w="5672" w:type="dxa"/>
            <w:vMerge/>
          </w:tcPr>
          <w:p w14:paraId="1DBFDF54"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p>
        </w:tc>
        <w:tc>
          <w:tcPr>
            <w:tcW w:w="3827" w:type="dxa"/>
          </w:tcPr>
          <w:p w14:paraId="64E75AED" w14:textId="77777777" w:rsidR="00A40329" w:rsidRPr="00E24264" w:rsidRDefault="00A40329" w:rsidP="00DA6D22">
            <w:pPr>
              <w:spacing w:after="0" w:line="240" w:lineRule="auto"/>
              <w:jc w:val="both"/>
              <w:rPr>
                <w:rFonts w:ascii="Times New Roman" w:eastAsia="Times New Roman" w:hAnsi="Times New Roman" w:cs="Times New Roman"/>
                <w:bCs/>
                <w:sz w:val="20"/>
                <w:szCs w:val="20"/>
                <w:lang w:val="en-US"/>
              </w:rPr>
            </w:pPr>
            <w:r w:rsidRPr="00E24264">
              <w:rPr>
                <w:rFonts w:ascii="Times New Roman" w:eastAsia="Times New Roman" w:hAnsi="Times New Roman" w:cs="Times New Roman"/>
                <w:bCs/>
                <w:sz w:val="20"/>
                <w:szCs w:val="20"/>
                <w:lang w:val="en-US"/>
              </w:rPr>
              <w:t>Xem xét điều chỉnh Quyết định số 4029/QĐ-UBND ngày 09/11/2020 của UBND huyện Càng Long về việc kiện toàn Ban quản lý Quỹ đền ơn đáp nghĩa huyện Càng Long; Quyết định số 3289/QĐ-UBND ngày 09/9/2024 của UBND huyện Càng Long về việc kiện toàn Ban điều hành bảo vệ trẻ em huyện Càng Long.</w:t>
            </w:r>
          </w:p>
        </w:tc>
        <w:tc>
          <w:tcPr>
            <w:tcW w:w="2126" w:type="dxa"/>
          </w:tcPr>
          <w:p w14:paraId="1A9825E5"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Kiểm toán ngân sách địa phương năm 2024; Chuyên đề việc quản lý, sử dụng</w:t>
            </w:r>
          </w:p>
          <w:p w14:paraId="59F275F7"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kinh phí bảo vệ môi trường và ứng phó biến đổi khí hậu giai đoạn 2021-2024 tại tỉnh Trà </w:t>
            </w:r>
            <w:r w:rsidRPr="00E24264">
              <w:rPr>
                <w:rFonts w:ascii="Times New Roman" w:eastAsia="Times New Roman" w:hAnsi="Times New Roman" w:cs="Times New Roman"/>
                <w:sz w:val="20"/>
                <w:szCs w:val="20"/>
              </w:rPr>
              <w:lastRenderedPageBreak/>
              <w:t>Vinh; Kết quả định giá và xử lý các vấn đề tài chính đối với Ban Quản lý Bến xe khách Trà Vinh để chuyển thành công ty cổ phần</w:t>
            </w:r>
          </w:p>
        </w:tc>
      </w:tr>
      <w:tr w:rsidR="00A40329" w:rsidRPr="00E24264" w14:paraId="6819F172" w14:textId="77777777" w:rsidTr="00A40329">
        <w:trPr>
          <w:cantSplit/>
          <w:trHeight w:val="231"/>
        </w:trPr>
        <w:tc>
          <w:tcPr>
            <w:tcW w:w="559" w:type="dxa"/>
          </w:tcPr>
          <w:p w14:paraId="5BE260E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6AC767B" w14:textId="736EF241"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Vĩnh Long</w:t>
            </w:r>
          </w:p>
        </w:tc>
        <w:tc>
          <w:tcPr>
            <w:tcW w:w="851" w:type="dxa"/>
          </w:tcPr>
          <w:p w14:paraId="714A0A1F" w14:textId="39A17000"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073455E" w14:textId="3E3BAFB7"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2138F59A" w14:textId="0E347708"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Vĩnh Long chưa ban hành một số văn bản quản lý điều hành trong lĩnh vực bảo vệ môi trường và ứng phó biến đổi khi hậu như: Quyết định quy định giá của các dịch vụ được chuyển từ phí sang cơ chế giá theo Luật Giá số 16/2023/QH15 ngày 19/6/2023.</w:t>
            </w:r>
          </w:p>
        </w:tc>
        <w:tc>
          <w:tcPr>
            <w:tcW w:w="3827" w:type="dxa"/>
          </w:tcPr>
          <w:p w14:paraId="2132CF3E" w14:textId="28E3E422"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Quyết định quy định giá của các dịch vụ được chuyển từ phí sang cơ chế giá theo điểm d khoản 3 Điều 21 Luật Giá số 16/2023/QH15 ngày 19/6/2023.</w:t>
            </w:r>
          </w:p>
        </w:tc>
        <w:tc>
          <w:tcPr>
            <w:tcW w:w="2126" w:type="dxa"/>
          </w:tcPr>
          <w:p w14:paraId="35453D23" w14:textId="2B50946C"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Chuyên đề việc quản lý, sử dụng kinh phí bảo vệ môi trường và ứng phó biến đổi khí hậu giai đoạn 2021-2024 tại tỉnh Vĩnh Long</w:t>
            </w:r>
          </w:p>
        </w:tc>
      </w:tr>
      <w:tr w:rsidR="00A40329" w:rsidRPr="00E24264" w14:paraId="578D713D" w14:textId="77777777" w:rsidTr="00A40329">
        <w:trPr>
          <w:cantSplit/>
          <w:trHeight w:val="231"/>
        </w:trPr>
        <w:tc>
          <w:tcPr>
            <w:tcW w:w="559" w:type="dxa"/>
          </w:tcPr>
          <w:p w14:paraId="5BFC4B34"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8DDE706" w14:textId="22CAB81A"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Vĩnh Long</w:t>
            </w:r>
          </w:p>
        </w:tc>
        <w:tc>
          <w:tcPr>
            <w:tcW w:w="851" w:type="dxa"/>
          </w:tcPr>
          <w:p w14:paraId="73F4C8EA" w14:textId="56057A36"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10CC9D0A" w14:textId="2B2E4F5F"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14B14EFE" w14:textId="0F156D13"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Vĩnh Long chưa tổ chức xác định, ban hành, sửa đổi, bổ sung định mức kinh tế - kỹ thuật áp dụng đối với các dịch vụ sự nghiệp công thuộc phạm vi quản lý theo thẩm quyền và quy định của pháp luật về đấu thầu, đặt hàng cung cấp sản phẩm, dịch vụ sự nghiệp công theo quy định Thông tư số 12/2024/TT-BXD ngày 18/12/2024 của Bộ Xây dựng.</w:t>
            </w:r>
          </w:p>
        </w:tc>
        <w:tc>
          <w:tcPr>
            <w:tcW w:w="3827" w:type="dxa"/>
          </w:tcPr>
          <w:p w14:paraId="71302F40" w14:textId="63A8F846"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Tổ chức xác định, ban hành, sửa đổi, bổ sung định mức kinh tế - kỹ thuật áp dụng đối với các dịch vụ sự nghiệp công thuộc phạm vi quản lý theo thẩm quyền và quy định của pháp luật về đấu thầu, đặt hàng cung cấp sản phẩm, dịch vụ sự nghiệp công theo quy định tại khoản 3 Điều 6 Thông tư số 12/2024/TT-BXD ngày 18/12/2024 của Bộ Xây dựng Hướng dẫn phương pháp xác định và quản lý chi phí dịch vụ sự nghiệp công chiếu sáng đô thị, cây xanh đô thị.</w:t>
            </w:r>
          </w:p>
        </w:tc>
        <w:tc>
          <w:tcPr>
            <w:tcW w:w="2126" w:type="dxa"/>
          </w:tcPr>
          <w:p w14:paraId="6091A74E" w14:textId="78E1A08E"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Chuyên đề việc quản lý, sử dụng kinh phí bảo vệ môi trường và ứng phó biến đổi khí hậu giai đoạn 2021-2024 tại tỉnh Vĩnh Long</w:t>
            </w:r>
          </w:p>
        </w:tc>
      </w:tr>
      <w:tr w:rsidR="00A40329" w:rsidRPr="00E24264" w14:paraId="2BA7017A" w14:textId="77777777" w:rsidTr="00A40329">
        <w:trPr>
          <w:cantSplit/>
          <w:trHeight w:val="231"/>
        </w:trPr>
        <w:tc>
          <w:tcPr>
            <w:tcW w:w="559" w:type="dxa"/>
          </w:tcPr>
          <w:p w14:paraId="3F6AF79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5A8ED05" w14:textId="5731AEF8"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Vĩnh Long</w:t>
            </w:r>
          </w:p>
        </w:tc>
        <w:tc>
          <w:tcPr>
            <w:tcW w:w="851" w:type="dxa"/>
          </w:tcPr>
          <w:p w14:paraId="3C997CC8" w14:textId="28123B6F"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754E5B0" w14:textId="5E7ED4E8"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3EFC7365" w14:textId="5F8B273A"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Hội đồng nhân dân tỉnh chưa ban hành Nghị quyết quy định một số mức chi sự nghiệp bảo vệ môi trường theo Thông tư số 94/2024/TT-BTC ngày 31/12/2024 của Bộ Tài chính.</w:t>
            </w:r>
          </w:p>
        </w:tc>
        <w:tc>
          <w:tcPr>
            <w:tcW w:w="3827" w:type="dxa"/>
          </w:tcPr>
          <w:p w14:paraId="75E3B717" w14:textId="038964C6"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Trình Hội đồng nhân dân tỉnh Vĩnh Long ban hành Nghị quyết quy định một số mức chi sự nghiệp bảo vệ môi trường theo quy định Điều 1 Thông tư số 94/2024/TT-BTC ngày 31/12/2024 của Bộ Tài chính.</w:t>
            </w:r>
          </w:p>
        </w:tc>
        <w:tc>
          <w:tcPr>
            <w:tcW w:w="2126" w:type="dxa"/>
          </w:tcPr>
          <w:p w14:paraId="3BF3DF8C" w14:textId="669660C0"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Chuyên đề việc quản lý, sử dụng kinh phí bảo vệ môi trường và ứng phó biến đổi khí hậu giai đoạn 2021-2024 tại tỉnh Vĩnh Long</w:t>
            </w:r>
          </w:p>
        </w:tc>
      </w:tr>
      <w:tr w:rsidR="00A40329" w:rsidRPr="00E24264" w14:paraId="55DA09AB" w14:textId="77777777" w:rsidTr="00A40329">
        <w:trPr>
          <w:cantSplit/>
          <w:trHeight w:val="231"/>
        </w:trPr>
        <w:tc>
          <w:tcPr>
            <w:tcW w:w="559" w:type="dxa"/>
          </w:tcPr>
          <w:p w14:paraId="1C51D7A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ACBB63B" w14:textId="662D99B3"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Thái Nguyên</w:t>
            </w:r>
          </w:p>
        </w:tc>
        <w:tc>
          <w:tcPr>
            <w:tcW w:w="851" w:type="dxa"/>
          </w:tcPr>
          <w:p w14:paraId="441AB99E" w14:textId="6C650AFC"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04FC77A" w14:textId="5DEA55F8"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2FBD04FA" w14:textId="587B91AF"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Giai đoạn 2022-2024, BQL chưa có báo cáo định kỳ, báo cáo đột xuất với cơ quan quản lý nhà nước về xây dựng theo quy định  tại khoản 3 Điều 11 Quyết định số 2896/QĐ-UBND.</w:t>
            </w:r>
          </w:p>
          <w:p w14:paraId="1FA46E6F" w14:textId="5310348E"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BQL chưa thực hiện tổng hợp, báo cáo  số liệu để phát hiện các dự án đầu tư vi phạm về đất đai làm căn cứ tham mưu, phối hợp kiểm tra để kịp thời phát hiện, ngăn chặn xử lý vi phạm về đất đai trong KCN theo quy định  điểm c khoản 1 Điều 12 Quyết định số 2896/QĐ-UBND</w:t>
            </w:r>
          </w:p>
        </w:tc>
        <w:tc>
          <w:tcPr>
            <w:tcW w:w="3827" w:type="dxa"/>
          </w:tcPr>
          <w:p w14:paraId="022D6D5F" w14:textId="18F54413"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giao cơ quan có thẩm quyền nghiên cứu, sửa đổi Quyết định số 2896/QĐ-UBND ngày 17/11/2023 của UBND tỉnh Thái Nguyên về ban hành quy chế phối hợp quản lý nhà nước tại các KCN phù hợp với quy định của pháp luật, phân công phân nhiệm rõ ràng trong nhiệm vụ chủ trì, nhiệm vụ phối hợp</w:t>
            </w:r>
          </w:p>
        </w:tc>
        <w:tc>
          <w:tcPr>
            <w:tcW w:w="2126" w:type="dxa"/>
          </w:tcPr>
          <w:p w14:paraId="23C98F35" w14:textId="401B2DF4"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BCKT Chuyên đề việc thực hiện các chính sách ưu đãi đầu tư tại khu kinh tế, khu công nghiệp giai đoạn 2022 -2024 trên địa bàn tỉnh Thái Nguyên</w:t>
            </w:r>
          </w:p>
        </w:tc>
      </w:tr>
      <w:tr w:rsidR="00A40329" w:rsidRPr="00E24264" w14:paraId="3DB10B1F" w14:textId="77777777" w:rsidTr="00A40329">
        <w:trPr>
          <w:cantSplit/>
          <w:trHeight w:val="231"/>
        </w:trPr>
        <w:tc>
          <w:tcPr>
            <w:tcW w:w="559" w:type="dxa"/>
          </w:tcPr>
          <w:p w14:paraId="3E3690B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4E5B44C1" w14:textId="70E89148"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Cao Bằng</w:t>
            </w:r>
          </w:p>
        </w:tc>
        <w:tc>
          <w:tcPr>
            <w:tcW w:w="851" w:type="dxa"/>
          </w:tcPr>
          <w:p w14:paraId="1E696C65" w14:textId="2E5B1584"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D700EB8" w14:textId="7755414A"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1B1ECF2E" w14:textId="77777777" w:rsidR="00A40329" w:rsidRPr="00E24264" w:rsidRDefault="00A40329" w:rsidP="00DA6D22">
            <w:pPr>
              <w:spacing w:after="0" w:line="240" w:lineRule="auto"/>
              <w:jc w:val="both"/>
              <w:rPr>
                <w:rFonts w:ascii="Times New Roman" w:eastAsia="Times New Roman" w:hAnsi="Times New Roman" w:cs="Times New Roman"/>
                <w:bCs/>
                <w:i/>
                <w:sz w:val="20"/>
                <w:szCs w:val="20"/>
                <w:lang w:val="en-US"/>
              </w:rPr>
            </w:pPr>
            <w:r w:rsidRPr="00E24264">
              <w:rPr>
                <w:rFonts w:ascii="Times New Roman" w:eastAsia="Times New Roman" w:hAnsi="Times New Roman" w:cs="Times New Roman"/>
                <w:bCs/>
                <w:sz w:val="20"/>
                <w:szCs w:val="20"/>
                <w:lang w:val="en-GB"/>
              </w:rPr>
              <w:t>(i)</w:t>
            </w:r>
            <w:r w:rsidRPr="00E24264">
              <w:rPr>
                <w:rFonts w:ascii="Times New Roman" w:eastAsia="Times New Roman" w:hAnsi="Times New Roman" w:cs="Times New Roman"/>
                <w:bCs/>
                <w:sz w:val="20"/>
                <w:szCs w:val="20"/>
                <w:lang w:val="vi-VN"/>
              </w:rPr>
              <w:t xml:space="preserve"> Tại khoản 4, Điều 11  của </w:t>
            </w:r>
            <w:r w:rsidRPr="00E24264">
              <w:rPr>
                <w:rFonts w:ascii="Times New Roman" w:eastAsia="Times New Roman" w:hAnsi="Times New Roman" w:cs="Times New Roman"/>
                <w:bCs/>
                <w:sz w:val="20"/>
                <w:szCs w:val="20"/>
                <w:lang w:val="en-US"/>
              </w:rPr>
              <w:t>Nghị q</w:t>
            </w:r>
            <w:r w:rsidRPr="00E24264">
              <w:rPr>
                <w:rFonts w:ascii="Times New Roman" w:eastAsia="Times New Roman" w:hAnsi="Times New Roman" w:cs="Times New Roman"/>
                <w:bCs/>
                <w:sz w:val="20"/>
                <w:szCs w:val="20"/>
                <w:lang w:val="vi-VN"/>
              </w:rPr>
              <w:t>uyết số 54/2022/NQ-HĐND quy định</w:t>
            </w:r>
            <w:r w:rsidRPr="00E24264">
              <w:rPr>
                <w:rFonts w:ascii="Times New Roman" w:eastAsia="Times New Roman" w:hAnsi="Times New Roman" w:cs="Times New Roman"/>
                <w:bCs/>
                <w:i/>
                <w:sz w:val="20"/>
                <w:szCs w:val="20"/>
                <w:lang w:val="vi-VN"/>
              </w:rPr>
              <w:t xml:space="preserve"> </w:t>
            </w:r>
            <w:r w:rsidRPr="00E24264">
              <w:rPr>
                <w:rFonts w:ascii="Times New Roman" w:eastAsia="Times New Roman" w:hAnsi="Times New Roman" w:cs="Times New Roman"/>
                <w:bCs/>
                <w:i/>
                <w:iCs/>
                <w:sz w:val="20"/>
                <w:szCs w:val="20"/>
                <w:lang w:val="vi-VN"/>
              </w:rPr>
              <w:t xml:space="preserve"> </w:t>
            </w:r>
            <w:r w:rsidRPr="00E24264">
              <w:rPr>
                <w:rFonts w:ascii="Times New Roman" w:eastAsia="Times New Roman" w:hAnsi="Times New Roman" w:cs="Times New Roman"/>
                <w:bCs/>
                <w:i/>
                <w:iCs/>
                <w:sz w:val="20"/>
                <w:szCs w:val="20"/>
                <w:lang w:val="en-GB"/>
              </w:rPr>
              <w:t xml:space="preserve">“Đóng góp của </w:t>
            </w:r>
            <w:r w:rsidRPr="00E24264">
              <w:rPr>
                <w:rFonts w:ascii="Times New Roman" w:eastAsia="Times New Roman" w:hAnsi="Times New Roman" w:cs="Times New Roman"/>
                <w:b/>
                <w:bCs/>
                <w:i/>
                <w:iCs/>
                <w:sz w:val="20"/>
                <w:szCs w:val="20"/>
                <w:lang w:val="en-GB"/>
              </w:rPr>
              <w:t>doanh nghiệp, hợp tác xã, tổ chức, cá nhân</w:t>
            </w:r>
            <w:r w:rsidRPr="00E24264">
              <w:rPr>
                <w:rFonts w:ascii="Times New Roman" w:eastAsia="Times New Roman" w:hAnsi="Times New Roman" w:cs="Times New Roman"/>
                <w:bCs/>
                <w:i/>
                <w:iCs/>
                <w:sz w:val="20"/>
                <w:szCs w:val="20"/>
                <w:lang w:val="en-GB"/>
              </w:rPr>
              <w:t xml:space="preserve">, người dân có thể bằng tiền hoặc bằng hiện vật, ngày công lao động được quy đổi thành tiền và phải được quản lý, sử dụng đúng mục </w:t>
            </w:r>
            <w:r w:rsidRPr="00E24264">
              <w:rPr>
                <w:rFonts w:ascii="Times New Roman" w:eastAsia="Times New Roman" w:hAnsi="Times New Roman" w:cs="Times New Roman"/>
                <w:bCs/>
                <w:i/>
                <w:iCs/>
                <w:sz w:val="20"/>
                <w:szCs w:val="20"/>
                <w:lang w:val="en-GB"/>
              </w:rPr>
              <w:lastRenderedPageBreak/>
              <w:t>đích; được tính đầy đủ trong giá trị công trình để theo dõi, quản lý; không hạch toán vào thu, chi Ngân sách Nhà nước</w:t>
            </w:r>
            <w:r w:rsidRPr="00E24264">
              <w:rPr>
                <w:rFonts w:ascii="Times New Roman" w:eastAsia="Times New Roman" w:hAnsi="Times New Roman" w:cs="Times New Roman"/>
                <w:bCs/>
                <w:i/>
                <w:iCs/>
                <w:sz w:val="20"/>
                <w:szCs w:val="20"/>
                <w:lang w:val="vi-VN"/>
              </w:rPr>
              <w:t>”</w:t>
            </w:r>
            <w:r w:rsidRPr="00E24264">
              <w:rPr>
                <w:rFonts w:ascii="Times New Roman" w:eastAsia="Times New Roman" w:hAnsi="Times New Roman" w:cs="Times New Roman"/>
                <w:bCs/>
                <w:i/>
                <w:sz w:val="20"/>
                <w:szCs w:val="20"/>
                <w:lang w:val="vi-VN"/>
              </w:rPr>
              <w:t xml:space="preserve">, </w:t>
            </w:r>
            <w:r w:rsidRPr="00E24264">
              <w:rPr>
                <w:rFonts w:ascii="Times New Roman" w:eastAsia="Times New Roman" w:hAnsi="Times New Roman" w:cs="Times New Roman"/>
                <w:bCs/>
                <w:sz w:val="20"/>
                <w:szCs w:val="20"/>
                <w:lang w:val="vi-VN"/>
              </w:rPr>
              <w:t>chưa phù hợp</w:t>
            </w:r>
            <w:r w:rsidRPr="00E24264">
              <w:rPr>
                <w:rFonts w:ascii="Times New Roman" w:eastAsia="Times New Roman" w:hAnsi="Times New Roman" w:cs="Times New Roman"/>
                <w:sz w:val="20"/>
                <w:szCs w:val="20"/>
                <w:vertAlign w:val="superscript"/>
                <w:lang w:val="vi-VN"/>
              </w:rPr>
              <w:footnoteReference w:id="6"/>
            </w:r>
            <w:r w:rsidRPr="00E24264">
              <w:rPr>
                <w:rFonts w:ascii="Times New Roman" w:eastAsia="Times New Roman" w:hAnsi="Times New Roman" w:cs="Times New Roman"/>
                <w:bCs/>
                <w:sz w:val="20"/>
                <w:szCs w:val="20"/>
                <w:lang w:val="vi-VN"/>
              </w:rPr>
              <w:t xml:space="preserve"> theo quy định tại khoản 3  Đi</w:t>
            </w:r>
            <w:r w:rsidRPr="00E24264">
              <w:rPr>
                <w:rFonts w:ascii="Times New Roman" w:eastAsia="Times New Roman" w:hAnsi="Times New Roman" w:cs="Times New Roman"/>
                <w:bCs/>
                <w:sz w:val="20"/>
                <w:szCs w:val="20"/>
                <w:lang w:val="en-GB"/>
              </w:rPr>
              <w:t>ề</w:t>
            </w:r>
            <w:r w:rsidRPr="00E24264">
              <w:rPr>
                <w:rFonts w:ascii="Times New Roman" w:eastAsia="Times New Roman" w:hAnsi="Times New Roman" w:cs="Times New Roman"/>
                <w:bCs/>
                <w:sz w:val="20"/>
                <w:szCs w:val="20"/>
                <w:lang w:val="vi-VN"/>
              </w:rPr>
              <w:t>u 13 Nghị định số 27/2022/NĐ-CP</w:t>
            </w:r>
            <w:r w:rsidRPr="00E24264">
              <w:rPr>
                <w:rFonts w:ascii="Times New Roman" w:eastAsia="Times New Roman" w:hAnsi="Times New Roman" w:cs="Times New Roman"/>
                <w:bCs/>
                <w:i/>
                <w:iCs/>
                <w:sz w:val="20"/>
                <w:szCs w:val="20"/>
                <w:lang w:val="vi-VN"/>
              </w:rPr>
              <w:t xml:space="preserve">“3. Đóng góp của </w:t>
            </w:r>
            <w:r w:rsidRPr="00E24264">
              <w:rPr>
                <w:rFonts w:ascii="Times New Roman" w:eastAsia="Times New Roman" w:hAnsi="Times New Roman" w:cs="Times New Roman"/>
                <w:b/>
                <w:bCs/>
                <w:i/>
                <w:iCs/>
                <w:sz w:val="20"/>
                <w:szCs w:val="20"/>
                <w:lang w:val="vi-VN"/>
              </w:rPr>
              <w:t>người dân</w:t>
            </w:r>
            <w:r w:rsidRPr="00E24264">
              <w:rPr>
                <w:rFonts w:ascii="Times New Roman" w:eastAsia="Times New Roman" w:hAnsi="Times New Roman" w:cs="Times New Roman"/>
                <w:bCs/>
                <w:i/>
                <w:iCs/>
                <w:sz w:val="20"/>
                <w:szCs w:val="20"/>
                <w:lang w:val="vi-VN"/>
              </w:rPr>
              <w:t xml:space="preserve"> có thể bằng tiền hoặc bằng hiện vật, ngày công lao động được quy đổi thành tiền; phải được tính trong giá trị công trình để theo dõi, quản lý tỷ lệ đóng góp đã được thống nhất; không hạch toán vào thu, chi ngân sách nhà nước</w:t>
            </w:r>
            <w:r w:rsidRPr="00E24264">
              <w:rPr>
                <w:rFonts w:ascii="Times New Roman" w:eastAsia="Times New Roman" w:hAnsi="Times New Roman" w:cs="Times New Roman"/>
                <w:bCs/>
                <w:i/>
                <w:sz w:val="20"/>
                <w:szCs w:val="20"/>
                <w:lang w:val="vi-VN"/>
              </w:rPr>
              <w:t>”</w:t>
            </w:r>
            <w:r w:rsidRPr="00E24264">
              <w:rPr>
                <w:rFonts w:ascii="Times New Roman" w:eastAsia="Times New Roman" w:hAnsi="Times New Roman" w:cs="Times New Roman"/>
                <w:bCs/>
                <w:i/>
                <w:sz w:val="20"/>
                <w:szCs w:val="20"/>
                <w:lang w:val="en-US"/>
              </w:rPr>
              <w:t>.</w:t>
            </w:r>
          </w:p>
          <w:p w14:paraId="5EF1933E" w14:textId="77777777" w:rsidR="00A40329" w:rsidRPr="00E24264" w:rsidRDefault="00A40329" w:rsidP="00DA6D22">
            <w:pPr>
              <w:spacing w:after="0" w:line="240" w:lineRule="auto"/>
              <w:jc w:val="both"/>
              <w:rPr>
                <w:rFonts w:ascii="Times New Roman" w:eastAsia="Times New Roman" w:hAnsi="Times New Roman" w:cs="Times New Roman"/>
                <w:sz w:val="20"/>
                <w:szCs w:val="20"/>
              </w:rPr>
            </w:pPr>
          </w:p>
        </w:tc>
        <w:tc>
          <w:tcPr>
            <w:tcW w:w="3827" w:type="dxa"/>
          </w:tcPr>
          <w:p w14:paraId="74AA88AA" w14:textId="13E54D79"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Xem xét, quyết định sửa đổi khoản 4, Điều 11 của Nghị quyết số 54/2022/NQ-HĐND  phù hợp với khoản 3 Điều 13 Nghị định số 27/2022/NĐ-CP được sửa đổi tại khoản 8 </w:t>
            </w:r>
            <w:r w:rsidRPr="00E24264">
              <w:rPr>
                <w:rFonts w:ascii="Times New Roman" w:eastAsia="Times New Roman" w:hAnsi="Times New Roman" w:cs="Times New Roman"/>
                <w:sz w:val="20"/>
                <w:szCs w:val="20"/>
              </w:rPr>
              <w:lastRenderedPageBreak/>
              <w:t>Điều 1 Nghị định 38/2023/NĐ-CP ngày 24/6/2023</w:t>
            </w:r>
          </w:p>
        </w:tc>
        <w:tc>
          <w:tcPr>
            <w:tcW w:w="2126" w:type="dxa"/>
          </w:tcPr>
          <w:p w14:paraId="4D49C51D" w14:textId="4602B568"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BCKT Chương trình mục tiêu quốc gia xây dựng nông thôn mới </w:t>
            </w:r>
            <w:r w:rsidRPr="00E24264">
              <w:rPr>
                <w:rFonts w:ascii="Times New Roman" w:eastAsia="Times New Roman" w:hAnsi="Times New Roman" w:cs="Times New Roman"/>
                <w:sz w:val="20"/>
                <w:szCs w:val="20"/>
              </w:rPr>
              <w:lastRenderedPageBreak/>
              <w:t>giai đoạn 2021-2025 tại tỉnh Cao Bằng</w:t>
            </w:r>
          </w:p>
        </w:tc>
      </w:tr>
      <w:tr w:rsidR="00A40329" w:rsidRPr="00E24264" w14:paraId="4986C9B3" w14:textId="77777777" w:rsidTr="00A40329">
        <w:trPr>
          <w:cantSplit/>
          <w:trHeight w:val="231"/>
        </w:trPr>
        <w:tc>
          <w:tcPr>
            <w:tcW w:w="559" w:type="dxa"/>
          </w:tcPr>
          <w:p w14:paraId="68F4BB4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FC1CBCB" w14:textId="055E0508"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Tuyên Quang</w:t>
            </w:r>
          </w:p>
        </w:tc>
        <w:tc>
          <w:tcPr>
            <w:tcW w:w="851" w:type="dxa"/>
          </w:tcPr>
          <w:p w14:paraId="18B3F048" w14:textId="2F2695F9"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4A15C336" w14:textId="08FBD5CC" w:rsidR="00A40329" w:rsidRPr="00E24264" w:rsidRDefault="00A40329" w:rsidP="00DA6D22">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3FEECC47" w14:textId="460F7265"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BQL chưa thực hiện tổ chức kiểm tra, xác định thời điểm và tình trạng vi phạm về đất đai tại KCN gửi Sở NN&amp;MT để tổ chức thanh tra, kiểm tra, báo cáo cơ quan có thẩm quyền xử lý theo quy định tại điểm d khoản 1 Điều 10 Quyết định số 37/2023/QĐ-UBND</w:t>
            </w:r>
          </w:p>
        </w:tc>
        <w:tc>
          <w:tcPr>
            <w:tcW w:w="3827" w:type="dxa"/>
          </w:tcPr>
          <w:p w14:paraId="471F9B94" w14:textId="6515C8FA"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Quyết định số 37/2023/QĐ-UBND ngày 25/12/2023 của UBND tỉnh Tuyên Quang về ban hành quy chế phối hợp giữa các KCN với các Sở, ban, ngành cấp tỉnh và ủy ban nhân dân cấp huyện, thành phố trong công tác quản lý nhà nước đối với các KCN trên địa bàn tỉnh Tuyên Quang.</w:t>
            </w:r>
          </w:p>
        </w:tc>
        <w:tc>
          <w:tcPr>
            <w:tcW w:w="2126" w:type="dxa"/>
          </w:tcPr>
          <w:p w14:paraId="22A06A2A" w14:textId="4DC03C2E" w:rsidR="00A40329" w:rsidRPr="00E24264" w:rsidRDefault="00A40329" w:rsidP="00DA6D22">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và báo cáo quyết toán ngân sách địa phương năm 2024 tỉnh Tuyên Quang; Chuyên đề việc thực hiện các chính sách ưu đãi đầu tư tại khu kinh tế, khu công nghiệp giai đoạn 2022-2024 trên địa bàn tỉnh Tuyên Quang; việc đầu tư, ứng dụng phần mềm công nghệ thông tin, các hoạt động thuê dịch vụ công nghệ thông tin phục vụ cho chuyển đổi     số  tại tỉnh Tuyên Quang giai đoạn 2021-2024</w:t>
            </w:r>
          </w:p>
        </w:tc>
      </w:tr>
      <w:tr w:rsidR="00A40329" w:rsidRPr="00E24264" w14:paraId="612EBF50" w14:textId="77777777" w:rsidTr="00A40329">
        <w:trPr>
          <w:cantSplit/>
          <w:trHeight w:val="231"/>
        </w:trPr>
        <w:tc>
          <w:tcPr>
            <w:tcW w:w="559" w:type="dxa"/>
          </w:tcPr>
          <w:p w14:paraId="612EBF3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3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Đại học Quốc gia TP.HCM </w:t>
            </w:r>
          </w:p>
        </w:tc>
        <w:tc>
          <w:tcPr>
            <w:tcW w:w="851" w:type="dxa"/>
          </w:tcPr>
          <w:p w14:paraId="612EBF3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4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F4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Hợp tác đào tạo thạc sĩ của Trường ĐH Quốc tế thực hiện hình thức đào tạo trực tuyến với thời lượng 48,4%/tổng số chương trình đào tạo thực hiện theo khoản 4 Điều 8 Quyết định số 1393/QĐ-ĐHQG ngày 03/11/2021 của ĐHQG-HCM ban hành quy chế đào tạo thạc sĩ “Tổng số tín chỉ các học phần được đào tạo theo phương thức trực tuyến không vượt quá 50% tổng số tín chỉ của chương trình đào tạo”, không đúng quy định tại khoản 7 Điều 7 Thông tư số 23/2021/TT-BGDĐT ngày 30/8/2021</w:t>
            </w:r>
            <w:r w:rsidRPr="00E24264">
              <w:rPr>
                <w:rFonts w:ascii="Times New Roman" w:eastAsia="Times New Roman" w:hAnsi="Times New Roman" w:cs="Times New Roman"/>
                <w:sz w:val="20"/>
                <w:szCs w:val="20"/>
                <w:vertAlign w:val="superscript"/>
              </w:rPr>
              <w:footnoteReference w:id="7"/>
            </w:r>
            <w:r w:rsidRPr="00E24264">
              <w:rPr>
                <w:rFonts w:ascii="Times New Roman" w:eastAsia="Times New Roman" w:hAnsi="Times New Roman" w:cs="Times New Roman"/>
                <w:sz w:val="20"/>
                <w:szCs w:val="20"/>
              </w:rPr>
              <w:t xml:space="preserve"> (không quá 30%); </w:t>
            </w:r>
          </w:p>
          <w:p w14:paraId="612EBF42"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ĐHQG-HCM ban hành quy định về nguồn kinh phí thực hiện mua sắm tập trung theo Quyết định số 91/QĐ-ĐHQG ngày </w:t>
            </w:r>
            <w:r w:rsidRPr="00E24264">
              <w:rPr>
                <w:rFonts w:ascii="Times New Roman" w:eastAsia="Times New Roman" w:hAnsi="Times New Roman" w:cs="Times New Roman"/>
                <w:sz w:val="20"/>
                <w:szCs w:val="20"/>
              </w:rPr>
              <w:lastRenderedPageBreak/>
              <w:t>24/01/2018, tuy nhiên tại điểm b khoản 1 Điều 134 Nghị định số 24/2024/NĐ-CP ngày 27/2/2024 quy định Điều 70 Nghị định số 151/2017/NĐ-CP ngày 26/12/2017 của chính phủ “Quy định về nguồn mua sắm tập trung” hết hiệu lực, dẫn đến Điều 2</w:t>
            </w:r>
            <w:r w:rsidRPr="00E24264">
              <w:rPr>
                <w:rFonts w:ascii="Times New Roman" w:eastAsia="Times New Roman" w:hAnsi="Times New Roman" w:cs="Times New Roman"/>
                <w:sz w:val="20"/>
                <w:szCs w:val="20"/>
                <w:vertAlign w:val="superscript"/>
              </w:rPr>
              <w:footnoteReference w:id="8"/>
            </w:r>
            <w:r w:rsidRPr="00E24264">
              <w:rPr>
                <w:rFonts w:ascii="Times New Roman" w:eastAsia="Times New Roman" w:hAnsi="Times New Roman" w:cs="Times New Roman"/>
                <w:sz w:val="20"/>
                <w:szCs w:val="20"/>
              </w:rPr>
              <w:t xml:space="preserve"> Quyết định số 91/QĐ-ĐHQG không còn phù hợp.</w:t>
            </w:r>
          </w:p>
          <w:p w14:paraId="612EBF4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(3) ĐHQG-HCM ban hành quy định tiêu chuẩn, định mức sử dụng xe ô tô</w:t>
            </w:r>
            <w:r w:rsidRPr="00E24264">
              <w:rPr>
                <w:rFonts w:ascii="Times New Roman" w:eastAsia="Times New Roman" w:hAnsi="Times New Roman" w:cs="Times New Roman"/>
                <w:sz w:val="20"/>
                <w:szCs w:val="20"/>
                <w:vertAlign w:val="superscript"/>
              </w:rPr>
              <w:footnoteReference w:id="9"/>
            </w:r>
            <w:r w:rsidRPr="00E24264">
              <w:rPr>
                <w:rFonts w:ascii="Times New Roman" w:eastAsia="Times New Roman" w:hAnsi="Times New Roman" w:cs="Times New Roman"/>
                <w:sz w:val="20"/>
                <w:szCs w:val="20"/>
              </w:rPr>
              <w:t xml:space="preserve"> vượt 05 xe</w:t>
            </w:r>
            <w:r w:rsidRPr="00E24264">
              <w:rPr>
                <w:rFonts w:ascii="Times New Roman" w:eastAsia="Times New Roman" w:hAnsi="Times New Roman" w:cs="Times New Roman"/>
                <w:sz w:val="20"/>
                <w:szCs w:val="20"/>
                <w:vertAlign w:val="superscript"/>
              </w:rPr>
              <w:footnoteReference w:id="10"/>
            </w:r>
            <w:r w:rsidRPr="00E24264">
              <w:rPr>
                <w:rFonts w:ascii="Times New Roman" w:eastAsia="Times New Roman" w:hAnsi="Times New Roman" w:cs="Times New Roman"/>
                <w:sz w:val="20"/>
                <w:szCs w:val="20"/>
              </w:rPr>
              <w:t xml:space="preserve"> so với quy định tại điểm c khoản 5 Điều 9 Nghị định số 72/2023/NĐ-CP ngày 26/9/2023 của Chính phủ quy định về tiêu chuẩn, định mức sử dụng xe ô tô. </w:t>
            </w:r>
          </w:p>
          <w:p w14:paraId="612EBF44" w14:textId="77777777" w:rsidR="00A40329" w:rsidRPr="00E24264" w:rsidRDefault="00A40329" w:rsidP="00DB0AA4">
            <w:pPr>
              <w:widowControl w:val="0"/>
              <w:pBdr>
                <w:top w:val="nil"/>
                <w:left w:val="dotted" w:sz="4" w:space="0" w:color="FFFFFF"/>
                <w:bottom w:val="dotted" w:sz="4" w:space="17" w:color="FFFFFF"/>
                <w:right w:val="dotted" w:sz="4" w:space="0" w:color="FFFFFF"/>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(4) Các văn bản về cơ chế quản lý tài chính tại ĐHQGHCM và thực hiện quản lý nguồn thu và các khoản trích nộp về Quỹ Hỗ trợ</w:t>
            </w:r>
            <w:r w:rsidRPr="00E24264">
              <w:rPr>
                <w:rFonts w:ascii="Times New Roman" w:eastAsia="Times New Roman" w:hAnsi="Times New Roman" w:cs="Times New Roman"/>
                <w:sz w:val="20"/>
                <w:szCs w:val="20"/>
                <w:vertAlign w:val="superscript"/>
              </w:rPr>
              <w:footnoteReference w:id="11"/>
            </w:r>
            <w:r w:rsidRPr="00E24264">
              <w:rPr>
                <w:rFonts w:ascii="Times New Roman" w:eastAsia="Times New Roman" w:hAnsi="Times New Roman" w:cs="Times New Roman"/>
                <w:sz w:val="20"/>
                <w:szCs w:val="20"/>
              </w:rPr>
              <w:t xml:space="preserve"> quy định chưa thống nhất về đối tượng phải nộp toàn bộ nguồn thu học phí và nguồn thu dịch vụ sản xuất kinh doanh về ĐHQG-HCM</w:t>
            </w:r>
            <w:r w:rsidRPr="00E24264">
              <w:rPr>
                <w:rFonts w:ascii="Times New Roman" w:eastAsia="Times New Roman" w:hAnsi="Times New Roman" w:cs="Times New Roman"/>
                <w:sz w:val="20"/>
                <w:szCs w:val="20"/>
                <w:vertAlign w:val="superscript"/>
              </w:rPr>
              <w:footnoteReference w:id="12"/>
            </w:r>
            <w:r w:rsidRPr="00E24264">
              <w:rPr>
                <w:rFonts w:ascii="Times New Roman" w:eastAsia="Times New Roman" w:hAnsi="Times New Roman" w:cs="Times New Roman"/>
                <w:sz w:val="20"/>
                <w:szCs w:val="20"/>
              </w:rPr>
              <w:t xml:space="preserve">.  </w:t>
            </w:r>
          </w:p>
          <w:p w14:paraId="612EBF45" w14:textId="77777777" w:rsidR="00A40329" w:rsidRPr="00E24264" w:rsidRDefault="00A40329" w:rsidP="00DB0AA4">
            <w:pPr>
              <w:widowControl w:val="0"/>
              <w:pBdr>
                <w:top w:val="nil"/>
                <w:left w:val="dotted" w:sz="4" w:space="0" w:color="FFFFFF"/>
                <w:bottom w:val="dotted" w:sz="4" w:space="17" w:color="FFFFFF"/>
                <w:right w:val="dotted" w:sz="4" w:space="0" w:color="FFFFFF"/>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Văn bản quy định thực hiện quản lý nguồn thu và các khoản trích nộp về Quỹ hỗ trợ</w:t>
            </w:r>
            <w:r w:rsidRPr="00E24264">
              <w:rPr>
                <w:rFonts w:ascii="Times New Roman" w:eastAsia="Times New Roman" w:hAnsi="Times New Roman" w:cs="Times New Roman"/>
                <w:sz w:val="20"/>
                <w:szCs w:val="20"/>
                <w:vertAlign w:val="superscript"/>
              </w:rPr>
              <w:t xml:space="preserve"> </w:t>
            </w:r>
            <w:r w:rsidRPr="00E24264">
              <w:rPr>
                <w:rFonts w:ascii="Times New Roman" w:eastAsia="Times New Roman" w:hAnsi="Times New Roman" w:cs="Times New Roman"/>
                <w:sz w:val="20"/>
                <w:szCs w:val="20"/>
                <w:vertAlign w:val="superscript"/>
              </w:rPr>
              <w:footnoteReference w:id="13"/>
            </w:r>
            <w:r w:rsidRPr="00E24264">
              <w:rPr>
                <w:rFonts w:ascii="Times New Roman" w:eastAsia="Times New Roman" w:hAnsi="Times New Roman" w:cs="Times New Roman"/>
                <w:sz w:val="20"/>
                <w:szCs w:val="20"/>
                <w:vertAlign w:val="superscript"/>
              </w:rPr>
              <w:t xml:space="preserve"> </w:t>
            </w:r>
            <w:r w:rsidRPr="00E24264">
              <w:rPr>
                <w:rFonts w:ascii="Times New Roman" w:eastAsia="Times New Roman" w:hAnsi="Times New Roman" w:cs="Times New Roman"/>
                <w:sz w:val="20"/>
                <w:szCs w:val="20"/>
              </w:rPr>
              <w:t>chưa có quy định, hướng dẫn cụ thể liên quan đến đơn giá dịch vụ đào tạo tại 03 Trung tâm (Giáo dục quốc phòng, giáo dục thể chất và lý luận chính trị)</w:t>
            </w:r>
            <w:r w:rsidRPr="00E24264">
              <w:rPr>
                <w:rFonts w:ascii="Times New Roman" w:eastAsia="Times New Roman" w:hAnsi="Times New Roman" w:cs="Times New Roman"/>
                <w:sz w:val="20"/>
                <w:szCs w:val="20"/>
                <w:vertAlign w:val="superscript"/>
              </w:rPr>
              <w:footnoteReference w:id="14"/>
            </w:r>
            <w:r w:rsidRPr="00E24264">
              <w:rPr>
                <w:rFonts w:ascii="Times New Roman" w:eastAsia="Times New Roman" w:hAnsi="Times New Roman" w:cs="Times New Roman"/>
                <w:sz w:val="20"/>
                <w:szCs w:val="20"/>
              </w:rPr>
              <w:t xml:space="preserve"> và chưa nêu rõ quy trình về nộp nguồn thu điều tiết môn giữa 03 bên (các trường thành viên, các Trung tâm đào tạo và ĐHQG-HCM) chỉ quy định về nội dung chuyển khoản nộp điều tiết môn Giáo dục quốc phòng, giáo dục thể chất và lý luận chính trị về Quỹ Hỗ trợ.  </w:t>
            </w:r>
          </w:p>
          <w:p w14:paraId="612EBF46" w14:textId="77777777" w:rsidR="00A40329" w:rsidRPr="00E24264" w:rsidRDefault="00A40329" w:rsidP="00DB0AA4">
            <w:pPr>
              <w:widowControl w:val="0"/>
              <w:pBdr>
                <w:top w:val="nil"/>
                <w:left w:val="dotted" w:sz="4" w:space="0" w:color="FFFFFF"/>
                <w:bottom w:val="dotted" w:sz="4" w:space="17" w:color="FFFFFF"/>
                <w:right w:val="dotted" w:sz="4" w:space="0" w:color="FFFFFF"/>
                <w:between w:val="nil"/>
              </w:pBd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-Chưa có quy định cụ thể về quản lý, sử dụng nguồn tiền lãi gửi ngân hàng. Thực tế, Đơn vị sử dụng nguồn tiền từ Quỹ hỗ trợ gửi tiết kiệm (03 hợp đồng tiền gửi), lãi ngân hàng ghi tăng Quỹ hỗ trợ, dùng nguồn lãi để cấp kinh phí học bổng cho sinh viên số tiền 408trđ theo phê duyệt của Giám đốc ĐHQGHCM tại Tờ trình số 558/TTr-TC </w:t>
            </w:r>
            <w:r w:rsidRPr="00E24264">
              <w:rPr>
                <w:rFonts w:ascii="Times New Roman" w:eastAsia="Times New Roman" w:hAnsi="Times New Roman" w:cs="Times New Roman"/>
                <w:sz w:val="20"/>
                <w:szCs w:val="20"/>
              </w:rPr>
              <w:lastRenderedPageBreak/>
              <w:t>ngày 02/12/2024.</w:t>
            </w:r>
          </w:p>
        </w:tc>
        <w:tc>
          <w:tcPr>
            <w:tcW w:w="3827" w:type="dxa"/>
          </w:tcPr>
          <w:p w14:paraId="612EBF47"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Rà soát, sửa đổi Quyết định số 1393/QĐ-ĐHQG ngày 03/11/2021 của ĐHQG-HCM ban hành quy chế đào tạo thạc sĩ, để đảm bảo thực hiện theo đúng quy định tại khoản 7 Điều 7 Thông tư số 23/2021/TT-BGDĐT ngày 30/8/2021 của Bộ Giáo dục và Đào tạo về thời lượng đào tạo trực tuyến.</w:t>
            </w:r>
          </w:p>
          <w:p w14:paraId="612EBF48"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Rà soát, sửa đổi, bổ sung Quyết định số 91/QĐ-ĐHQG ngày 24/01/2018 của Giám đốc ĐHQG-HCM ban hành danh mục tài sản </w:t>
            </w:r>
            <w:r w:rsidRPr="00E24264">
              <w:rPr>
                <w:rFonts w:ascii="Times New Roman" w:eastAsia="Times New Roman" w:hAnsi="Times New Roman" w:cs="Times New Roman"/>
                <w:sz w:val="20"/>
                <w:szCs w:val="20"/>
              </w:rPr>
              <w:lastRenderedPageBreak/>
              <w:t>mua sắm tập trung của ĐHQG-HCM, đảm bảo đúng theo các quy định của Luật Đấu thầu năm 2023, Nghị định số 24/2024/NĐ-CP ngày 27/02/2024.</w:t>
            </w:r>
          </w:p>
          <w:p w14:paraId="612EBF49"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(3) Rà soát, sửa đổi Quyết định số 1727/QĐ-ĐHQG ngày 12/12/2023 của Giám đốc ĐHQG HCM quy định tiêu chuẩn, định mức sử dụng xe ô tô tại ĐHQG-HCM, đảm bảo đúng theo quy định tại điểm c khoản 5 Điều 9 Nghị định số 72/2023/NĐ-CP.</w:t>
            </w:r>
          </w:p>
          <w:p w14:paraId="612EBF4A"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(4) Rà soát, sửa đổi văn bản quy định đối với việc quản lý, sử dụng Quỹ Hỗ trợ và Phát triển Đại học Quốc gia sau khi Nghị định quy định chức năng, nhiệm vụ, quyền hạn và cơ cấu tổ chức của Đại học Quốc gia và Quy chế tài chính của ĐHQG-HCM được ban hành đảm bảo theo quy định pháp luật cho phù hợp, trong đó lưu ý đối với một số nội dung sau:</w:t>
            </w:r>
          </w:p>
          <w:p w14:paraId="612EBF4B"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Ban hành quy chế quản lý Quỹ Hỗ trợ hoạt động và phát triển ĐHQG trong đó: (i) Quy định về việc nộp nguồn thu về tài khoản của ĐHQG-HCM xem xét thực tiễn hoạt động của các đơn vị, các khó khăn, vướng mắc (nếu có); tỷ lệ đóng góp Quỹ đối với từng đơn vị; quy định về nộp nguồn thu điều tiết môn Giáo dục quốc phòng, giáo dục thể chất và lý </w:t>
            </w:r>
            <w:r w:rsidRPr="00E24264">
              <w:rPr>
                <w:rFonts w:ascii="Times New Roman" w:eastAsia="Times New Roman" w:hAnsi="Times New Roman" w:cs="Times New Roman"/>
                <w:sz w:val="20"/>
                <w:szCs w:val="20"/>
              </w:rPr>
              <w:lastRenderedPageBreak/>
              <w:t>luận chính trị; (ii) Quy định việc quản lý, sử dụng nguồn tiền lãi gửi ngân hàng của tài khoản hình thành từ số dư của Quỹ Hỗ trợ.</w:t>
            </w:r>
          </w:p>
          <w:p w14:paraId="612EBF4C" w14:textId="77777777" w:rsidR="00A40329" w:rsidRPr="00E24264" w:rsidRDefault="00A40329" w:rsidP="00DB0AA4">
            <w:pPr>
              <w:widowControl w:val="0"/>
              <w:pBdr>
                <w:top w:val="dotted" w:sz="4" w:space="0" w:color="FFFFFF"/>
                <w:left w:val="dotted" w:sz="4" w:space="0" w:color="FFFFFF"/>
                <w:bottom w:val="dotted" w:sz="4" w:space="20" w:color="FFFFFF"/>
                <w:right w:val="dotted" w:sz="4" w:space="0" w:color="FFFFFF"/>
              </w:pBd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ĐHQG-HCM có hướng dẫn đối với các nội dung: (i) Hướng dẫn cụ thể liên quan đến đơn giá dịch vụ đào tạo, việc xuất hóa đơn tài chính tại 03 Trung tâm để đồng nhất trong việc quản lý; (ii) Hướng dẫn các đơn vị hạch toán thống nhất đối với khoản trích nộp về Quỹ Hỗ trợ.</w:t>
            </w:r>
          </w:p>
        </w:tc>
        <w:tc>
          <w:tcPr>
            <w:tcW w:w="2126" w:type="dxa"/>
          </w:tcPr>
          <w:p w14:paraId="612EBF4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Kiểm toán việc quản lý, sử dụng tài chính công, tài sản công năm 2024; Chuyên đề việc quản lý, sử dụng, sắp xếp lại và xử lý nhà đất theo Nghị định 167/2017/NĐ-CP ngày 31/12/2017 và Nghị định số 67/2021/NĐ-CP ngày </w:t>
            </w:r>
            <w:r w:rsidRPr="00E24264">
              <w:rPr>
                <w:rFonts w:ascii="Times New Roman" w:eastAsia="Times New Roman" w:hAnsi="Times New Roman" w:cs="Times New Roman"/>
                <w:sz w:val="20"/>
                <w:szCs w:val="20"/>
              </w:rPr>
              <w:lastRenderedPageBreak/>
              <w:t xml:space="preserve">15/7/2021 tại Đại học Quốc gia TP.HCM </w:t>
            </w:r>
          </w:p>
        </w:tc>
      </w:tr>
      <w:tr w:rsidR="00A40329" w:rsidRPr="00E24264" w14:paraId="612EBF5D" w14:textId="77777777" w:rsidTr="00A40329">
        <w:trPr>
          <w:cantSplit/>
          <w:trHeight w:val="231"/>
        </w:trPr>
        <w:tc>
          <w:tcPr>
            <w:tcW w:w="559" w:type="dxa"/>
          </w:tcPr>
          <w:p w14:paraId="612EBF5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5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Bộ Công thương </w:t>
            </w:r>
          </w:p>
        </w:tc>
        <w:tc>
          <w:tcPr>
            <w:tcW w:w="851" w:type="dxa"/>
          </w:tcPr>
          <w:p w14:paraId="612EBF53"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5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BF5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(1) Năm 2025 kết thúc các nhiệm vụ KHCN cấp quốc gia thuộc </w:t>
            </w:r>
            <w:r w:rsidRPr="00E24264">
              <w:rPr>
                <w:rFonts w:ascii="Times New Roman" w:eastAsia="Times New Roman" w:hAnsi="Times New Roman" w:cs="Times New Roman"/>
                <w:i/>
                <w:iCs/>
                <w:sz w:val="20"/>
                <w:szCs w:val="20"/>
              </w:rPr>
              <w:t>“Chương trình khoa học và công nghệ trọng điểm về công nghệ khai thác và chế biến khoáng sản”</w:t>
            </w:r>
            <w:r w:rsidRPr="00E24264">
              <w:rPr>
                <w:rFonts w:ascii="Times New Roman" w:eastAsia="Times New Roman" w:hAnsi="Times New Roman" w:cs="Times New Roman"/>
                <w:sz w:val="20"/>
                <w:szCs w:val="20"/>
              </w:rPr>
              <w:t xml:space="preserve"> thực hiện Đề án </w:t>
            </w:r>
            <w:r w:rsidRPr="00E24264">
              <w:rPr>
                <w:rFonts w:ascii="Times New Roman" w:eastAsia="Times New Roman" w:hAnsi="Times New Roman" w:cs="Times New Roman"/>
                <w:i/>
                <w:iCs/>
                <w:sz w:val="20"/>
                <w:szCs w:val="20"/>
              </w:rPr>
              <w:t>“Đổi mới và hiện đại hóa công nghệ trong ngành công nghiệp khai thác khoáng sản đến năm 2025”</w:t>
            </w:r>
            <w:r w:rsidRPr="00E24264">
              <w:rPr>
                <w:rFonts w:ascii="Times New Roman" w:eastAsia="Times New Roman" w:hAnsi="Times New Roman" w:cs="Times New Roman"/>
                <w:sz w:val="20"/>
                <w:szCs w:val="20"/>
              </w:rPr>
              <w:t xml:space="preserve"> tuy nhiên đến thời điểm kiểm toán (sắp kết thúc Đề án) còn 22 nhiệm vụ KHCN đang thực hiện, nhiều nhiệm vụ gia hạn nhiều lần trong đó có 11 nhiệm vụ phải gia hạn (số tiền là 72.717trđ), có 04 nhiệm vụ phải gia hạn 3 lần, dẫn đến nguồn vốn NSNN đã bố trí phải gia hạn kéo dài, chưa phát huy hết hiệu quả nguồn vốn được bố trí.</w:t>
            </w:r>
          </w:p>
          <w:p w14:paraId="612EBF56"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Tổ chức chủ trì không thực hiện việc báo cáo tiến độ đúng quy định từ 02 lần trở lên theo quy định tại Điều 9 Thông tư số 42/2019/TT-BCT 18/12/2019 (đối với đề tài cấp Bộ); 45 đề tài/nhiệm vụ KHCN có số quyết toán trong năm bằng 0đ, tuy nhiên các cuộc kiểm tra định kỳ, các đơn vị chủ trì không chuẩn bị chứng từ để kiểm tra nên việc kiểm tra về tình hình kinh phí và công tác thực hiện, nghiệm thu khối lượng hoàn thành chưa được thực hiện nguyên nhân: (1) Đối với đề tài cấp Bộ: Do khoản 2 Mục 4 Biên bản kiểm tra theo mẫu B18-BBKT-BCT tại Thông tư  số 37/2016/TT-BCT ngày 28/12/2016, được thay thế từ 01/01/2025 tại khoản 2 mục V Biên bản kiểm tra mẫu B18a-BBKT-BC tại Quyết định số 1320/QĐ-BCT ngày 31/5/2024 không có quy định cụ thể thời điểm kiểm tra chứng từ, chưa có biện pháp đôn đốc đối với các đề tài liên tục các năm không thực hiện thanh toán, giải ngân đúng tiến độ mà quy định: </w:t>
            </w:r>
            <w:r w:rsidRPr="00E24264">
              <w:rPr>
                <w:rFonts w:ascii="Times New Roman" w:eastAsia="Times New Roman" w:hAnsi="Times New Roman" w:cs="Times New Roman"/>
                <w:i/>
                <w:iCs/>
                <w:sz w:val="20"/>
                <w:szCs w:val="20"/>
              </w:rPr>
              <w:t>“nội dung kiểm tra có kiểm tra tình sử dụng kinh phí, mua sắm, tuy nhiên quy định việc kiểm tra chứng từ, xác nhận kinh phí thực chi và quyết toán sẽ được kiểm tra và xác nhận cụ thể sau”</w:t>
            </w:r>
            <w:r w:rsidRPr="00E24264">
              <w:rPr>
                <w:rFonts w:ascii="Times New Roman" w:eastAsia="Times New Roman" w:hAnsi="Times New Roman" w:cs="Times New Roman"/>
                <w:sz w:val="20"/>
                <w:szCs w:val="20"/>
              </w:rPr>
              <w:t xml:space="preserve">; (2) Đối với Nhiệm vụ KHCN cấp quốc gia việc không chuẩn bị chứng </w:t>
            </w:r>
            <w:r w:rsidRPr="00E24264">
              <w:rPr>
                <w:rFonts w:ascii="Times New Roman" w:eastAsia="Times New Roman" w:hAnsi="Times New Roman" w:cs="Times New Roman"/>
                <w:sz w:val="20"/>
                <w:szCs w:val="20"/>
              </w:rPr>
              <w:lastRenderedPageBreak/>
              <w:t xml:space="preserve">từ để kiểm tra thuộc trách nhiệm của đơn vị chủ trì theo quy định Thông tư số 04/2015/TT-BKHCN ngày 11/3/2015. </w:t>
            </w:r>
          </w:p>
        </w:tc>
        <w:tc>
          <w:tcPr>
            <w:tcW w:w="3827" w:type="dxa"/>
          </w:tcPr>
          <w:p w14:paraId="612EBF5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(1) Rà soát, sửa đổi, bổ sung quy định khoản 19 Điều 1 Thông tư số 37/2016/TT-BCT ngày 28/12/2016 được thay thế từ 01/01/2025) bởi Điều 28 Quyết định số 1320/QĐ-BCT ngày 31/5/2024 về: “Điều chỉnh thời gian thực hiện nhiệm vụ” đối với các đề tài thuộc thẩm quyền gia hạn của Bộ rõ ràng để khi triển khai thực hiện không còn bất cập, vướng mắc, đảm bảo hiệu quả việc sử dụng NSNN, theo hướng quy định cụ thể từng trường hợp gia hạn, thủ tục gia hạn, số lần gia hạn, thời gian gia hạn; </w:t>
            </w:r>
          </w:p>
          <w:p w14:paraId="612EBF5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Bổ sung khoản 2 Mục 4 Biên bản kiểm tra theo mẫu B18-BBKT-BCT tại Thông tư số 37/2016/TT-BCT ngày 28/12/2016, được thay thế từ 01/01/2025 tại khoản 2 mục V Biên bản kiểm tra mẫu B18a-BBKT-BC tại Quyết định số 1320/QĐ-BCT ngày 31/5/2024 về việc kiểm tra chứng từ, kinh phí thực chi khi tổ chức kiểm tra.</w:t>
            </w:r>
          </w:p>
          <w:p w14:paraId="612EBF59"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p>
        </w:tc>
        <w:tc>
          <w:tcPr>
            <w:tcW w:w="2126" w:type="dxa"/>
          </w:tcPr>
          <w:p w14:paraId="612EBF5A"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việc quản lý, sử dụng tài chính công, tài sản công năm 2024 và kiểm toán việc quản lý, sử dụng sắp xếp lại và xử lý nhà, đất theo Nghị định số 167/2017/NĐ-CP ngày 31/12/2017 và Nghị định số 67/2021/NĐ-CP ngày 15/7/2021 tại Bộ Công Thương</w:t>
            </w:r>
          </w:p>
        </w:tc>
      </w:tr>
      <w:tr w:rsidR="00A40329" w:rsidRPr="00E24264" w14:paraId="612EBF6C" w14:textId="77777777" w:rsidTr="00A40329">
        <w:trPr>
          <w:cantSplit/>
          <w:trHeight w:val="231"/>
        </w:trPr>
        <w:tc>
          <w:tcPr>
            <w:tcW w:w="559" w:type="dxa"/>
          </w:tcPr>
          <w:p w14:paraId="612EBF5E"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5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Giáo dục và Đào tạo</w:t>
            </w:r>
          </w:p>
        </w:tc>
        <w:tc>
          <w:tcPr>
            <w:tcW w:w="851" w:type="dxa"/>
          </w:tcPr>
          <w:p w14:paraId="612EBF6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6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Xây dựng, ban hành</w:t>
            </w:r>
          </w:p>
        </w:tc>
        <w:tc>
          <w:tcPr>
            <w:tcW w:w="5672" w:type="dxa"/>
          </w:tcPr>
          <w:p w14:paraId="612EBF62" w14:textId="777777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(1) Tại khoản 6 Điều 10 Thông tư số 14/2024/TT-BGDĐT ngày 31/10/2024 của Bộ GDĐT đang quy định về xác định giá dịch vụ, đào tạo: “6. Chi phí khác gồm các loại thuế khác theo quy định, tiền thuê đất và các khoản phí, lệ phí khác”. Tuy nhiên, Bộ GDĐT chưa có văn bản hướng dẫn loại thuế nào không được tính vào giá dịch vụ đào tạo dẫn đến còn đơn vị xây dựng ĐMKTKT làm cơ sở xác định giá dịch vụ, đào tạo có kết cấu cả chi phí thuế TNDN 2% trên doanh thu là chưa đúng quy định tại khoản 1 Điều 2 Luật Thuế TNDN số 14/2008/QH12. </w:t>
            </w:r>
          </w:p>
          <w:p w14:paraId="612EBF63" w14:textId="777777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Bộ GDĐT chưa có văn bản hướng dẫn xây dựng, ban hành Định mức kinh tế kỹ thuật (viết tắt là ĐMKTKT) áp dụng trong lĩnh vực giáo dục, đào tạo; chưa hoàn thành việc xây dựng và ban hành ĐMKTKT áp dụng chung trong lĩnh vực giáo dục, đào tạo theo phân cấp quản lý theo quy định tại khoản 1 Điều 11 Thông tư số 14/2024/TT-BGDĐT ngày 31/10/2024 của Bộ GDĐT hướng dẫn quy trình xây dựng, thẩm định, ban hành ĐMKTKT và phương pháp định giá dịch vụ giáo dục, đào tạo làm căn cứ cho các cơ sở giáo dục đại học xây dựng ĐMKTKT riêng.</w:t>
            </w:r>
          </w:p>
          <w:p w14:paraId="612EBF6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bookmarkStart w:id="11" w:name="_3ibap0b7ocia" w:colFirst="0" w:colLast="0"/>
            <w:bookmarkEnd w:id="11"/>
            <w:r w:rsidRPr="00E24264">
              <w:rPr>
                <w:rFonts w:ascii="Times New Roman" w:eastAsia="Times New Roman" w:hAnsi="Times New Roman" w:cs="Times New Roman"/>
                <w:sz w:val="20"/>
                <w:szCs w:val="20"/>
              </w:rPr>
              <w:t xml:space="preserve">(3) Các cơ sở đào tạo trực thuộc Bộ GDĐT chưa thực hiện đầy đủ việc kiểm định chất lượng các chương trình đào tạo (gồm chương trình đào tạo chính quy và chương trình sau đại học) theo quy định tại điểm 5 khoản 18 Điều 1 (sửa đổi Điều 33) Luật sửa đổi, bổ sung một số điều của Luật Giáo dục đại học số 34/2018/QH14 ( Chưa đúng quy định tại điểm 5 khoản 18 Điều 1 (sửa đổi Điều 33): “Trước khi khóa đầu tiên tốt nghiệp, chương trình đào tạo phải được đánh giá chất lượng; ngay sau khi khóa đầu tiên tốt nghiệp, chương trình đào tạo phải được kiểm định theo quy định của Luật này. Trường hợp không thực hiện đánh giá, kiểm định hoặc kết quả đánh giá, kiểm định không đạt yêu cầu, cơ sở giáo dục đại học phải có trách nhiệm cải tiến, nâng cao chất lượng đào tạo, bảo đảm chuẩn đầu ra của chương trình đào tạo, bảo đảm quyền lợi cho người học, không được tiếp tục tuyển sinh ngành đào tạo đó cho đến khi đạt tiêu chuẩn kiểm định chất lượng”); chưa kiểm định chất lượng chương trình đào tạo ( Chưa đúng quy định tại  khoản 25 Điều 1 (sửa đổi, bổ sung khoản 7 Điều 45) Luật số 34/2018/QH14 sửa đổi, bổ sung một số điều của Giáo dục đại học: (i) Trường ĐH SP TP.HCM: Chương trình liên kết đào tạo cấp bằng Thạc sĩ Lý luận và Phương pháp giảng dạy tiếng Anh liên kết với Trường Đại học Victoria Wellington; (ii) Trường ĐH Mở TP.HCM gồm: 03 chương trình LK đào tạo cử nhân với </w:t>
            </w:r>
            <w:r w:rsidRPr="00E24264">
              <w:rPr>
                <w:rFonts w:ascii="Times New Roman" w:eastAsia="Times New Roman" w:hAnsi="Times New Roman" w:cs="Times New Roman"/>
                <w:sz w:val="20"/>
                <w:szCs w:val="20"/>
              </w:rPr>
              <w:lastRenderedPageBreak/>
              <w:t>Flinders, 02 chương trình cử nhân liên kết Born-Úc, Thạc sĩ ngành quản trị kinh doanh liên kết với Đại học Fresenius (Đức); 02 ngành đào tạo thạc sĩ liên kết với Đại học Tự do Bruxlles Bỉ, ngành đào tạo cử nhân nghề nghiệp thương mại quốc tế liên kết đào tạo với Đại học Rouen Normandy (Pháp), Thạc sĩ giáo dục lý luận và phương pháp dạy học bộ môn tiếng anh Edith Cowan, úc; (iii) Trường ĐH Xây dựng Hà Nội 05 chương trình đào tạo; (iv) Trường ĐH SP HN2 là 13 chương trình thạc sĩ và 04 tiến sĩ; (v) Trường ĐH Hà Nội: 07 chương trình đào tạo; (vi)Trường ĐH SPKT TP.HCM 02 ngành đào tạo đại học với ĐH Sunderland; 02 ngành đào tạo đại học ĐH Northampton và 03 ngành đào tạo đại học với ĐH Tongmyong).</w:t>
            </w:r>
          </w:p>
        </w:tc>
        <w:tc>
          <w:tcPr>
            <w:tcW w:w="3827" w:type="dxa"/>
          </w:tcPr>
          <w:p w14:paraId="612EBF65" w14:textId="777777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(1) Ban hành hướng dẫn các đơn vị xây dựng quy trình, thẩm định ban hành ĐMKTKT và phương pháp định giá dịch vụ giáo dục, đào tạo theo quy định tại Thông tư số 14/2024/TT-BGDĐT, trong đó hướng dẫn rõ chi phí thuế TNDN không có trong cấu thành giá dịch vụ giáo dục đào tạo để đảm bảo tuân thủ các quy định hiện hành.</w:t>
            </w:r>
          </w:p>
          <w:p w14:paraId="612EBF66" w14:textId="777777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(2) Xây dựng và ban hành văn bản hướng dẫn xây dựng ĐMKTKT áp dụng trong lĩnh vực giáo dục, đào tạo làm căn cứ cho các cơ sở giáo dục đại học xây dựng ĐMKTKT riêng.</w:t>
            </w:r>
            <w:bookmarkStart w:id="12" w:name="y5szgsvvi133" w:colFirst="0" w:colLast="0"/>
            <w:bookmarkEnd w:id="12"/>
          </w:p>
          <w:p w14:paraId="612EBF67" w14:textId="777777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(3) Tổng kết, đánh giá các vướng mắc trong việc kiểm định chất lượng các chương trình liên kết đào tạo với nước ngoài hiện nay tại các cơ sở giáo dục đại học, cao đẳng nghề trực thuộc để ban hành hướng dẫn cụ thể về quy trình và tiêu chuẩn kiểm định đảm bảo tính khả thi trong tổ chức thực hiện khoản 25 Điều 1 (sửa đổi, bổ sung khoản 7 Điều 45) Luật số 34/2018/QH14 sửa đổi, bổ sung một số điều của Luật Giáo dục đại học và phù hợp điều kiện thực tiễn. </w:t>
            </w:r>
          </w:p>
          <w:p w14:paraId="612EBF6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p>
        </w:tc>
        <w:tc>
          <w:tcPr>
            <w:tcW w:w="2126" w:type="dxa"/>
          </w:tcPr>
          <w:p w14:paraId="612EBF69" w14:textId="3CCA2461"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pacing w:val="-6"/>
                <w:sz w:val="20"/>
                <w:szCs w:val="20"/>
                <w:lang w:val="vi-VN"/>
              </w:rPr>
              <w:t>BCKT việc kiểm toán việc quản lý, sử dụng tài chính công, tài sản công năm 2024; Chuyên đề việc quản lý, sử dụng sắp xếp lại và xử lý nhà, đất theo Nghị định số 167/2017/NĐ-CP ngày 31/12/2017 và Nghị định số 67/2021/NĐ-CP ngày 15/7/2021 tại Bộ Giáo dục và Đào tạo</w:t>
            </w:r>
          </w:p>
        </w:tc>
      </w:tr>
      <w:tr w:rsidR="00A40329" w:rsidRPr="00E24264" w14:paraId="2F53B573" w14:textId="77777777" w:rsidTr="00A40329">
        <w:trPr>
          <w:cantSplit/>
          <w:trHeight w:val="274"/>
        </w:trPr>
        <w:tc>
          <w:tcPr>
            <w:tcW w:w="559" w:type="dxa"/>
          </w:tcPr>
          <w:p w14:paraId="3EFE37F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9B59CC7" w14:textId="0B9E6FC6"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Bộ Ngoại giao</w:t>
            </w:r>
          </w:p>
        </w:tc>
        <w:tc>
          <w:tcPr>
            <w:tcW w:w="851" w:type="dxa"/>
          </w:tcPr>
          <w:p w14:paraId="074C51EB" w14:textId="5832BE3E"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Văn bản khác</w:t>
            </w:r>
          </w:p>
        </w:tc>
        <w:tc>
          <w:tcPr>
            <w:tcW w:w="851" w:type="dxa"/>
          </w:tcPr>
          <w:p w14:paraId="15EF4CC3" w14:textId="2DB93D05"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Batang" w:hAnsi="Times New Roman" w:cs="Times New Roman"/>
                <w:noProof/>
                <w:sz w:val="20"/>
                <w:szCs w:val="20"/>
                <w:lang w:eastAsia="ko-KR"/>
              </w:rPr>
              <w:t>Xây dựng, ban hành</w:t>
            </w:r>
          </w:p>
        </w:tc>
        <w:tc>
          <w:tcPr>
            <w:tcW w:w="5672" w:type="dxa"/>
          </w:tcPr>
          <w:p w14:paraId="2D89CD84" w14:textId="7E3C637C"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contextualSpacing/>
              <w:jc w:val="both"/>
              <w:rPr>
                <w:rFonts w:ascii="Times New Roman" w:eastAsia="Times New Roman" w:hAnsi="Times New Roman" w:cs="Times New Roman"/>
                <w:bCs/>
                <w:iCs/>
                <w:sz w:val="20"/>
                <w:szCs w:val="20"/>
                <w:lang w:val="nl-NL"/>
              </w:rPr>
            </w:pPr>
            <w:r w:rsidRPr="00E24264">
              <w:rPr>
                <w:rFonts w:ascii="Times New Roman" w:eastAsia="Times New Roman" w:hAnsi="Times New Roman" w:cs="Times New Roman"/>
                <w:bCs/>
                <w:iCs/>
                <w:sz w:val="20"/>
                <w:szCs w:val="20"/>
                <w:lang w:val="nl-NL"/>
              </w:rPr>
              <w:t>Bộ Ngoại giao chưa ban hành:</w:t>
            </w:r>
          </w:p>
          <w:p w14:paraId="27C5634D" w14:textId="77777777"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jc w:val="both"/>
              <w:rPr>
                <w:rFonts w:ascii="Times New Roman" w:eastAsia="Times New Roman" w:hAnsi="Times New Roman" w:cs="Times New Roman"/>
                <w:bCs/>
                <w:iCs/>
                <w:sz w:val="20"/>
                <w:szCs w:val="20"/>
                <w:lang w:val="nl-NL"/>
              </w:rPr>
            </w:pPr>
            <w:r w:rsidRPr="00E24264">
              <w:rPr>
                <w:rFonts w:ascii="Times New Roman" w:eastAsia="Times New Roman" w:hAnsi="Times New Roman" w:cs="Times New Roman"/>
                <w:bCs/>
                <w:iCs/>
                <w:sz w:val="20"/>
                <w:szCs w:val="20"/>
                <w:lang w:val="nl-NL"/>
              </w:rPr>
              <w:t>(1) Định mức kinh tế - kỹ thuật, hướng dẫn việc thực hiện cung cấp dịch vụ sự nghiệp công sử dụng NSNN và chưa phối hợp với Bộ Tài chính ban hành đơn giá, giá dịch vụ sự nghiệp công sử dụng NSTW theo quy định của pháp luật về giá đối với lĩnh vực sự nghiệp kinh tế và sự nghiệp khác do Cục Phục vụ ngoại giao đoàn thực hiện</w:t>
            </w:r>
            <w:r w:rsidRPr="00E24264">
              <w:rPr>
                <w:rFonts w:ascii="Times New Roman" w:eastAsia="Times New Roman" w:hAnsi="Times New Roman" w:cs="Times New Roman"/>
                <w:bCs/>
                <w:iCs/>
                <w:sz w:val="20"/>
                <w:szCs w:val="20"/>
                <w:vertAlign w:val="superscript"/>
                <w:lang w:val="nl-NL"/>
              </w:rPr>
              <w:footnoteReference w:id="15"/>
            </w:r>
            <w:r w:rsidRPr="00E24264">
              <w:rPr>
                <w:rFonts w:ascii="Times New Roman" w:eastAsia="Times New Roman" w:hAnsi="Times New Roman" w:cs="Times New Roman"/>
                <w:bCs/>
                <w:iCs/>
                <w:sz w:val="20"/>
                <w:szCs w:val="20"/>
                <w:lang w:val="nl-NL"/>
              </w:rPr>
              <w:t xml:space="preserve"> theo quy định tại Điều 2 Quyết định số 2097/QĐ-TTg ngày 14/12/2021 của Thủ tướng Chính phủ Ban hành Danh mục dịch vụ sự nghiệp công sử dụng NSNN của Bộ Ngoại giao đối với lĩnh vực sự nghiệp kinh tế và sự nghiệp khác. Năm 2024, 02 dịch vụ sự nghiệp công sử dụng NSNN của Bộ giao cho Cục Phục vụ Ngoại giao đoàn vẫn thực hiện theo hình thức giao dự toán.</w:t>
            </w:r>
          </w:p>
          <w:p w14:paraId="186084A6" w14:textId="2E629FCA"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jc w:val="both"/>
              <w:rPr>
                <w:rFonts w:ascii="Times New Roman" w:eastAsia="Times New Roman" w:hAnsi="Times New Roman" w:cs="Times New Roman"/>
                <w:bCs/>
                <w:iCs/>
                <w:sz w:val="20"/>
                <w:szCs w:val="20"/>
                <w:lang w:val="nl-NL"/>
              </w:rPr>
            </w:pPr>
            <w:r w:rsidRPr="00E24264">
              <w:rPr>
                <w:rFonts w:ascii="Times New Roman" w:eastAsia="Times New Roman" w:hAnsi="Times New Roman" w:cs="Times New Roman"/>
                <w:bCs/>
                <w:iCs/>
                <w:spacing w:val="-2"/>
                <w:sz w:val="20"/>
                <w:szCs w:val="20"/>
                <w:lang w:val="nl-NL"/>
              </w:rPr>
              <w:t>(2) Tiêu chuẩn, định mức sử dụng diện tích chuyên dùng</w:t>
            </w:r>
            <w:r w:rsidRPr="00E24264">
              <w:rPr>
                <w:rFonts w:ascii="Times New Roman" w:eastAsia="Times New Roman" w:hAnsi="Times New Roman" w:cs="Times New Roman"/>
                <w:bCs/>
                <w:iCs/>
                <w:spacing w:val="-2"/>
                <w:sz w:val="20"/>
                <w:szCs w:val="20"/>
                <w:vertAlign w:val="superscript"/>
              </w:rPr>
              <w:footnoteReference w:id="16"/>
            </w:r>
            <w:r w:rsidRPr="00E24264">
              <w:rPr>
                <w:rFonts w:ascii="Times New Roman" w:eastAsia="Times New Roman" w:hAnsi="Times New Roman" w:cs="Times New Roman"/>
                <w:bCs/>
                <w:iCs/>
                <w:spacing w:val="-2"/>
                <w:sz w:val="20"/>
                <w:szCs w:val="20"/>
                <w:lang w:val="nl-NL"/>
              </w:rPr>
              <w:t xml:space="preserve"> của các cơ quan Việt Nam ở nước ngoài thuộc phạm vi quản lý theo quy định tại </w:t>
            </w:r>
            <w:r w:rsidRPr="00E24264">
              <w:rPr>
                <w:rFonts w:ascii="Times New Roman" w:eastAsia="Times New Roman" w:hAnsi="Times New Roman" w:cs="Times New Roman"/>
                <w:bCs/>
                <w:iCs/>
                <w:spacing w:val="-2"/>
                <w:sz w:val="20"/>
                <w:szCs w:val="20"/>
                <w:lang w:val="vi-VN"/>
              </w:rPr>
              <w:t xml:space="preserve">khoản </w:t>
            </w:r>
            <w:r w:rsidRPr="00E24264">
              <w:rPr>
                <w:rFonts w:ascii="Times New Roman" w:eastAsia="Times New Roman" w:hAnsi="Times New Roman" w:cs="Times New Roman"/>
                <w:bCs/>
                <w:iCs/>
                <w:spacing w:val="-2"/>
                <w:sz w:val="20"/>
                <w:szCs w:val="20"/>
                <w:lang w:val="nl-NL"/>
              </w:rPr>
              <w:t>2</w:t>
            </w:r>
            <w:r w:rsidRPr="00E24264">
              <w:rPr>
                <w:rFonts w:ascii="Times New Roman" w:eastAsia="Times New Roman" w:hAnsi="Times New Roman" w:cs="Times New Roman"/>
                <w:bCs/>
                <w:iCs/>
                <w:spacing w:val="-2"/>
                <w:sz w:val="20"/>
                <w:szCs w:val="20"/>
                <w:lang w:val="vi-VN"/>
              </w:rPr>
              <w:t xml:space="preserve"> Điều </w:t>
            </w:r>
            <w:r w:rsidRPr="00E24264">
              <w:rPr>
                <w:rFonts w:ascii="Times New Roman" w:eastAsia="Times New Roman" w:hAnsi="Times New Roman" w:cs="Times New Roman"/>
                <w:bCs/>
                <w:iCs/>
                <w:spacing w:val="-2"/>
                <w:sz w:val="20"/>
                <w:szCs w:val="20"/>
                <w:lang w:val="nl-NL"/>
              </w:rPr>
              <w:t>8</w:t>
            </w:r>
            <w:r w:rsidRPr="00E24264">
              <w:rPr>
                <w:rFonts w:ascii="Times New Roman" w:eastAsia="Times New Roman" w:hAnsi="Times New Roman" w:cs="Times New Roman"/>
                <w:bCs/>
                <w:iCs/>
                <w:spacing w:val="-2"/>
                <w:sz w:val="20"/>
                <w:szCs w:val="20"/>
                <w:lang w:val="vi-VN"/>
              </w:rPr>
              <w:t xml:space="preserve"> Nghị định số 166/2017/NĐ-CP ngày 31/12/2017</w:t>
            </w:r>
            <w:r w:rsidRPr="00E24264">
              <w:rPr>
                <w:rFonts w:ascii="Times New Roman" w:eastAsia="Times New Roman" w:hAnsi="Times New Roman" w:cs="Times New Roman"/>
                <w:bCs/>
                <w:iCs/>
                <w:spacing w:val="-2"/>
                <w:sz w:val="20"/>
                <w:szCs w:val="20"/>
                <w:lang w:val="nl-NL"/>
              </w:rPr>
              <w:t xml:space="preserve">; chưa ban hành quy định mức khoán kinh phí sử dụng nhà ở của cơ quan Việt Nam ở nước ngoài theo quy định tại </w:t>
            </w:r>
            <w:r w:rsidRPr="00E24264">
              <w:rPr>
                <w:rFonts w:ascii="Times New Roman" w:eastAsia="Times New Roman" w:hAnsi="Times New Roman" w:cs="Times New Roman"/>
                <w:bCs/>
                <w:iCs/>
                <w:spacing w:val="-2"/>
                <w:sz w:val="20"/>
                <w:szCs w:val="20"/>
                <w:lang w:val="vi-VN"/>
              </w:rPr>
              <w:t xml:space="preserve">khoản </w:t>
            </w:r>
            <w:r w:rsidRPr="00E24264">
              <w:rPr>
                <w:rFonts w:ascii="Times New Roman" w:eastAsia="Times New Roman" w:hAnsi="Times New Roman" w:cs="Times New Roman"/>
                <w:bCs/>
                <w:iCs/>
                <w:spacing w:val="-2"/>
                <w:sz w:val="20"/>
                <w:szCs w:val="20"/>
                <w:lang w:val="nl-NL"/>
              </w:rPr>
              <w:t>3</w:t>
            </w:r>
            <w:r w:rsidRPr="00E24264">
              <w:rPr>
                <w:rFonts w:ascii="Times New Roman" w:eastAsia="Times New Roman" w:hAnsi="Times New Roman" w:cs="Times New Roman"/>
                <w:bCs/>
                <w:iCs/>
                <w:spacing w:val="-2"/>
                <w:sz w:val="20"/>
                <w:szCs w:val="20"/>
                <w:lang w:val="vi-VN"/>
              </w:rPr>
              <w:t xml:space="preserve"> Điều </w:t>
            </w:r>
            <w:r w:rsidRPr="00E24264">
              <w:rPr>
                <w:rFonts w:ascii="Times New Roman" w:eastAsia="Times New Roman" w:hAnsi="Times New Roman" w:cs="Times New Roman"/>
                <w:bCs/>
                <w:iCs/>
                <w:spacing w:val="-2"/>
                <w:sz w:val="20"/>
                <w:szCs w:val="20"/>
                <w:lang w:val="nl-NL"/>
              </w:rPr>
              <w:t>11</w:t>
            </w:r>
            <w:r w:rsidRPr="00E24264">
              <w:rPr>
                <w:rFonts w:ascii="Times New Roman" w:eastAsia="Times New Roman" w:hAnsi="Times New Roman" w:cs="Times New Roman"/>
                <w:bCs/>
                <w:iCs/>
                <w:spacing w:val="-2"/>
                <w:sz w:val="20"/>
                <w:szCs w:val="20"/>
                <w:lang w:val="vi-VN"/>
              </w:rPr>
              <w:t xml:space="preserve"> Nghị định số 166/2017/NĐ-CP ngày 31/12/2017</w:t>
            </w:r>
            <w:r w:rsidRPr="00E24264">
              <w:rPr>
                <w:rFonts w:ascii="Times New Roman" w:eastAsia="Times New Roman" w:hAnsi="Times New Roman" w:cs="Times New Roman"/>
                <w:bCs/>
                <w:iCs/>
                <w:spacing w:val="-2"/>
                <w:sz w:val="20"/>
                <w:szCs w:val="20"/>
                <w:lang w:val="nl-NL"/>
              </w:rPr>
              <w:t xml:space="preserve"> và theo Quy chế quản lý, sử dụng tài sản công tại điểm a mục 2.2 Điều 7 Quyết định số 2194/QĐ-BNG ngày 15/8/2023.</w:t>
            </w:r>
          </w:p>
        </w:tc>
        <w:tc>
          <w:tcPr>
            <w:tcW w:w="3827" w:type="dxa"/>
          </w:tcPr>
          <w:p w14:paraId="6874203A" w14:textId="77777777"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contextualSpacing/>
              <w:jc w:val="both"/>
              <w:rPr>
                <w:rFonts w:ascii="Times New Roman" w:hAnsi="Times New Roman" w:cs="Times New Roman"/>
                <w:bCs/>
                <w:iCs/>
                <w:sz w:val="20"/>
                <w:szCs w:val="20"/>
                <w:lang w:val="de-DE"/>
              </w:rPr>
            </w:pPr>
            <w:r w:rsidRPr="00E24264">
              <w:rPr>
                <w:rFonts w:ascii="Times New Roman" w:hAnsi="Times New Roman" w:cs="Times New Roman"/>
                <w:bCs/>
                <w:iCs/>
                <w:sz w:val="20"/>
                <w:szCs w:val="20"/>
                <w:lang w:val="de-DE"/>
              </w:rPr>
              <w:t>Ban hành, bổ sung hoặc sửa đổi cơ chế chính sách:</w:t>
            </w:r>
          </w:p>
          <w:p w14:paraId="60E88CF1" w14:textId="77777777"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contextualSpacing/>
              <w:jc w:val="both"/>
              <w:rPr>
                <w:rFonts w:ascii="Times New Roman" w:hAnsi="Times New Roman" w:cs="Times New Roman"/>
                <w:iCs/>
                <w:spacing w:val="-4"/>
                <w:sz w:val="20"/>
                <w:szCs w:val="20"/>
                <w:lang w:val="nl-NL"/>
              </w:rPr>
            </w:pPr>
            <w:r w:rsidRPr="00E24264">
              <w:rPr>
                <w:rFonts w:ascii="Times New Roman" w:hAnsi="Times New Roman" w:cs="Times New Roman"/>
                <w:spacing w:val="-4"/>
                <w:sz w:val="20"/>
                <w:szCs w:val="20"/>
                <w:lang w:val="de-DE"/>
              </w:rPr>
              <w:t xml:space="preserve">(1) Về định </w:t>
            </w:r>
            <w:r w:rsidRPr="00E24264">
              <w:rPr>
                <w:rFonts w:ascii="Times New Roman" w:hAnsi="Times New Roman" w:cs="Times New Roman"/>
                <w:iCs/>
                <w:spacing w:val="-4"/>
                <w:sz w:val="20"/>
                <w:szCs w:val="20"/>
                <w:lang w:val="nl-NL"/>
              </w:rPr>
              <w:t>mức kinh tế - kỹ thuật</w:t>
            </w:r>
            <w:r w:rsidRPr="00E24264">
              <w:rPr>
                <w:rFonts w:ascii="Times New Roman" w:hAnsi="Times New Roman" w:cs="Times New Roman"/>
                <w:spacing w:val="-4"/>
                <w:sz w:val="20"/>
                <w:szCs w:val="20"/>
                <w:lang w:val="de-DE"/>
              </w:rPr>
              <w:t xml:space="preserve">, </w:t>
            </w:r>
            <w:r w:rsidRPr="00E24264">
              <w:rPr>
                <w:rFonts w:ascii="Times New Roman" w:hAnsi="Times New Roman" w:cs="Times New Roman"/>
                <w:iCs/>
                <w:spacing w:val="-4"/>
                <w:sz w:val="20"/>
                <w:szCs w:val="20"/>
                <w:lang w:val="nl-NL"/>
              </w:rPr>
              <w:t>đơn giá dịch vụ sự nghiệp công sử dụng NSTW:</w:t>
            </w:r>
            <w:r w:rsidRPr="00E24264">
              <w:rPr>
                <w:rFonts w:ascii="Times New Roman" w:hAnsi="Times New Roman" w:cs="Times New Roman"/>
                <w:spacing w:val="-4"/>
                <w:sz w:val="20"/>
                <w:szCs w:val="20"/>
                <w:lang w:val="de-DE"/>
              </w:rPr>
              <w:t xml:space="preserve"> </w:t>
            </w:r>
            <w:r w:rsidRPr="00E24264">
              <w:rPr>
                <w:rFonts w:ascii="Times New Roman" w:hAnsi="Times New Roman" w:cs="Times New Roman"/>
                <w:iCs/>
                <w:spacing w:val="-4"/>
                <w:sz w:val="20"/>
                <w:szCs w:val="20"/>
                <w:lang w:val="nl-NL"/>
              </w:rPr>
              <w:t>(i) Ban hành Quy định định mức kinh tế - kỹ thuật và hướng dẫn việc thực hiện cung cấp dịch vụ sự nghiệp công sử dụng ngân sách nhà nước; (ii) Phối hợp với Bộ Tài chính ban hành đơn giá, giá dịch vụ sự nghiệp công sử dụng ngân sách trung ương theo quy định của pháp luật về giá đối với 02 dịch vụ sự nghiệp công sử dụng ngân sách nhà nước của Bộ Ngoại giao đối với lĩnh vực sự nghiệp kinh tế và sự nghiệp khác.</w:t>
            </w:r>
          </w:p>
          <w:p w14:paraId="49CD836F" w14:textId="6D15303D" w:rsidR="00A40329" w:rsidRPr="00E24264" w:rsidRDefault="00A40329" w:rsidP="00DB0AA4">
            <w:pPr>
              <w:widowControl w:val="0"/>
              <w:pBdr>
                <w:top w:val="dotted" w:sz="4" w:space="0" w:color="FFFFFF"/>
                <w:left w:val="dotted" w:sz="4" w:space="0" w:color="FFFFFF"/>
                <w:bottom w:val="dotted" w:sz="4" w:space="31" w:color="FFFFFF"/>
                <w:right w:val="dotted" w:sz="4" w:space="0" w:color="FFFFFF"/>
              </w:pBdr>
              <w:shd w:val="clear" w:color="auto" w:fill="FFFFFF"/>
              <w:tabs>
                <w:tab w:val="left" w:pos="0"/>
              </w:tabs>
              <w:spacing w:after="0" w:line="240" w:lineRule="auto"/>
              <w:contextualSpacing/>
              <w:jc w:val="both"/>
              <w:rPr>
                <w:rFonts w:ascii="Times New Roman" w:hAnsi="Times New Roman" w:cs="Times New Roman"/>
                <w:iCs/>
                <w:spacing w:val="-4"/>
                <w:sz w:val="20"/>
                <w:szCs w:val="20"/>
                <w:lang w:val="nl-NL"/>
              </w:rPr>
            </w:pPr>
            <w:r w:rsidRPr="00E24264">
              <w:rPr>
                <w:rFonts w:ascii="Times New Roman" w:hAnsi="Times New Roman" w:cs="Times New Roman"/>
                <w:spacing w:val="-2"/>
                <w:sz w:val="20"/>
                <w:szCs w:val="20"/>
                <w:lang w:val="nl-NL"/>
              </w:rPr>
              <w:t>(2) Ban hành: (i) tiêu chuẩn, định mức sử dụng diện tích chuyên dùng của các cơ quan Việt Nam ở nước ngoài thuộc phạm vi quản lý theo quy định; (ii) quy định mức khoán kinh phí sử dụng nhà ở của cơ quan Việt Nam ở nước ngoài theo quy định.</w:t>
            </w:r>
          </w:p>
        </w:tc>
        <w:tc>
          <w:tcPr>
            <w:tcW w:w="2126" w:type="dxa"/>
          </w:tcPr>
          <w:p w14:paraId="6C381CD4" w14:textId="369ED849" w:rsidR="00A40329" w:rsidRPr="00E24264" w:rsidRDefault="00A40329" w:rsidP="00DB0AA4">
            <w:pPr>
              <w:spacing w:after="0" w:line="240" w:lineRule="auto"/>
              <w:jc w:val="both"/>
              <w:rPr>
                <w:rFonts w:ascii="Times New Roman" w:hAnsi="Times New Roman" w:cs="Times New Roman"/>
                <w:sz w:val="20"/>
                <w:szCs w:val="20"/>
              </w:rPr>
            </w:pPr>
            <w:r w:rsidRPr="00E24264">
              <w:rPr>
                <w:rFonts w:ascii="Times New Roman" w:hAnsi="Times New Roman" w:cs="Times New Roman"/>
                <w:sz w:val="20"/>
                <w:szCs w:val="20"/>
              </w:rPr>
              <w:t>BCKT việc quản lý, sử dụng tài chính công, tài sản công và Báo cáo quyết toán ngân sách năm 2024; việc quản lý, sử dụng sắp xếp lại và xử lý nhà, đất theo Nghị định số 167/2017/NĐ-CP ngày 31/12/2017 và Nghị định số 67/2021/NĐ-CP ngày 15/7/2021 tại Bộ Ngoại giao</w:t>
            </w:r>
          </w:p>
        </w:tc>
      </w:tr>
      <w:tr w:rsidR="00A40329" w:rsidRPr="00E24264" w14:paraId="45AB2BE4" w14:textId="77777777" w:rsidTr="00A40329">
        <w:trPr>
          <w:cantSplit/>
          <w:trHeight w:val="231"/>
        </w:trPr>
        <w:tc>
          <w:tcPr>
            <w:tcW w:w="559" w:type="dxa"/>
          </w:tcPr>
          <w:p w14:paraId="1AD06A1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488273C1" w14:textId="2933DC71"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Tòa án nhân dân tối cao</w:t>
            </w:r>
          </w:p>
        </w:tc>
        <w:tc>
          <w:tcPr>
            <w:tcW w:w="851" w:type="dxa"/>
          </w:tcPr>
          <w:p w14:paraId="4F9FA1EE" w14:textId="459C98CB"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Văn bản khác</w:t>
            </w:r>
          </w:p>
        </w:tc>
        <w:tc>
          <w:tcPr>
            <w:tcW w:w="851" w:type="dxa"/>
          </w:tcPr>
          <w:p w14:paraId="3A141A1A" w14:textId="239E7100"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Rà soát sửa đổi</w:t>
            </w:r>
          </w:p>
        </w:tc>
        <w:tc>
          <w:tcPr>
            <w:tcW w:w="5672" w:type="dxa"/>
          </w:tcPr>
          <w:p w14:paraId="303A2DD7" w14:textId="1061CAE5"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hAnsi="Times New Roman" w:cs="Times New Roman"/>
                <w:bCs/>
                <w:sz w:val="20"/>
                <w:szCs w:val="20"/>
                <w:lang w:val="nl-NL"/>
              </w:rPr>
              <w:t xml:space="preserve">Quyết định 608/QĐ-TANDTC-KHTC ngày 31/12/2021 hướng dẫn quản lý dự án đầu tư xây dựng sử dụng nguồn vốn đầu tư công thuộc Hệ thống Tòa án nhân dân </w:t>
            </w:r>
            <w:r w:rsidRPr="00E24264">
              <w:rPr>
                <w:rFonts w:ascii="Times New Roman" w:hAnsi="Times New Roman" w:cs="Times New Roman"/>
                <w:sz w:val="20"/>
                <w:szCs w:val="20"/>
                <w:lang w:val="nl-NL"/>
              </w:rPr>
              <w:t xml:space="preserve">được căn cứ quy định tại các văn bản quy phạm pháp luật như: Luật Đầu tư công số 39/2019/QH13 ngày 13/6/2019; Luật Đấu thầu số 43/2013/QH13 ngày 26/11/2013; Nghị định số 40/2020/NĐ-CP ngày 06/4/2020 của Chính phủ quy định chi tiết một số điều của Luật Đầu tư công… Đến nay, các văn bản quy phạm pháp luật này đã hết hiệu lực và được thay thế </w:t>
            </w:r>
            <w:r w:rsidRPr="00E24264">
              <w:rPr>
                <w:rFonts w:ascii="Times New Roman" w:hAnsi="Times New Roman" w:cs="Times New Roman"/>
                <w:bCs/>
                <w:sz w:val="20"/>
                <w:szCs w:val="20"/>
                <w:lang w:val="nl-NL"/>
              </w:rPr>
              <w:t>bởi Luật đầu tư công số 58/2024/QH15 ngày 29/11/2024; Nghị định 175/2024/NĐ-CP ngày 30/12/2024 của Chính phủ; Luật đấu thầu số 22/2023/QH15 ngày 23/6/2023… Tuy nhiên, TAND tối cao chưa ban hành văn bản thay thế Quyết định 608/QĐ-TANDTC-KHTC ngày 31/12/2021</w:t>
            </w:r>
            <w:r w:rsidRPr="00E24264">
              <w:rPr>
                <w:rStyle w:val="FootnoteReference"/>
                <w:rFonts w:ascii="Times New Roman" w:hAnsi="Times New Roman" w:cs="Times New Roman"/>
                <w:bCs/>
                <w:sz w:val="20"/>
                <w:szCs w:val="20"/>
                <w:lang w:val="nl-NL"/>
              </w:rPr>
              <w:footnoteReference w:id="17"/>
            </w:r>
            <w:r w:rsidRPr="00E24264">
              <w:rPr>
                <w:rFonts w:ascii="Times New Roman" w:hAnsi="Times New Roman" w:cs="Times New Roman"/>
                <w:bCs/>
                <w:sz w:val="20"/>
                <w:szCs w:val="20"/>
                <w:lang w:val="nl-NL"/>
              </w:rPr>
              <w:t>.</w:t>
            </w:r>
          </w:p>
        </w:tc>
        <w:tc>
          <w:tcPr>
            <w:tcW w:w="3827" w:type="dxa"/>
          </w:tcPr>
          <w:p w14:paraId="42FD5524" w14:textId="3AF03D77" w:rsidR="00A40329" w:rsidRPr="00E24264" w:rsidRDefault="00A40329" w:rsidP="00DB0AA4">
            <w:pPr>
              <w:shd w:val="clear" w:color="auto" w:fill="FFFFFF"/>
              <w:tabs>
                <w:tab w:val="left" w:pos="567"/>
              </w:tabs>
              <w:spacing w:after="0" w:line="240" w:lineRule="auto"/>
              <w:jc w:val="both"/>
              <w:rPr>
                <w:rFonts w:ascii="Times New Roman" w:eastAsia="Times New Roman" w:hAnsi="Times New Roman" w:cs="Times New Roman"/>
                <w:sz w:val="20"/>
                <w:szCs w:val="20"/>
              </w:rPr>
            </w:pPr>
            <w:r w:rsidRPr="00E24264">
              <w:rPr>
                <w:rFonts w:ascii="Times New Roman" w:hAnsi="Times New Roman" w:cs="Times New Roman"/>
                <w:sz w:val="20"/>
                <w:szCs w:val="20"/>
                <w:lang w:val="pt-BR"/>
              </w:rPr>
              <w:t xml:space="preserve">Chỉ đạo Cục Kế hoạch - Tài chính và các đơn vị có liên quan rà soát, sửa đổi </w:t>
            </w:r>
            <w:r w:rsidRPr="00E24264">
              <w:rPr>
                <w:rFonts w:ascii="Times New Roman" w:hAnsi="Times New Roman" w:cs="Times New Roman"/>
                <w:bCs/>
                <w:sz w:val="20"/>
                <w:szCs w:val="20"/>
                <w:lang w:val="pt-BR"/>
              </w:rPr>
              <w:t xml:space="preserve">Quyết định số 608/QĐ-TANDTC-KHTC ngày 31/12/2021 hướng dẫn quản lý dự án đầu tư xây dựng sử dụng nguồn vốn đầu tư công thuộc Hệ thống Tòa án nhân dân; </w:t>
            </w:r>
            <w:r w:rsidRPr="00E24264">
              <w:rPr>
                <w:rFonts w:ascii="Times New Roman" w:hAnsi="Times New Roman" w:cs="Times New Roman"/>
                <w:sz w:val="20"/>
                <w:szCs w:val="20"/>
                <w:lang w:val="nl-NL"/>
              </w:rPr>
              <w:t xml:space="preserve">Quyết định số 312/2010/QĐ-TATC ngày 09/4/2010 của Chánh án TAND tối cao </w:t>
            </w:r>
            <w:r w:rsidRPr="00E24264">
              <w:rPr>
                <w:rFonts w:ascii="Times New Roman" w:hAnsi="Times New Roman" w:cs="Times New Roman"/>
                <w:spacing w:val="-6"/>
                <w:sz w:val="20"/>
                <w:szCs w:val="20"/>
                <w:lang w:val="nl-NL"/>
              </w:rPr>
              <w:t>phân cấp quản lý và sử dụng tài sản nhà nước thuộc ngành Tòa án nhân dân phù hợp với các quy định hiện hành.</w:t>
            </w:r>
          </w:p>
        </w:tc>
        <w:tc>
          <w:tcPr>
            <w:tcW w:w="2126" w:type="dxa"/>
          </w:tcPr>
          <w:p w14:paraId="0BB81D39" w14:textId="2D72DA2B" w:rsidR="00A40329" w:rsidRPr="00E24264" w:rsidRDefault="00A40329" w:rsidP="00DB0AA4">
            <w:pPr>
              <w:spacing w:after="0" w:line="240" w:lineRule="auto"/>
              <w:jc w:val="both"/>
              <w:rPr>
                <w:rFonts w:ascii="Times New Roman" w:hAnsi="Times New Roman" w:cs="Times New Roman"/>
                <w:sz w:val="20"/>
                <w:szCs w:val="20"/>
              </w:rPr>
            </w:pPr>
            <w:r w:rsidRPr="00E24264">
              <w:rPr>
                <w:rFonts w:ascii="Times New Roman" w:eastAsia="Times New Roman" w:hAnsi="Times New Roman" w:cs="Times New Roman"/>
                <w:bCs/>
                <w:iCs/>
                <w:spacing w:val="-2"/>
                <w:sz w:val="20"/>
                <w:szCs w:val="20"/>
                <w:lang w:val="nl-NL"/>
              </w:rPr>
              <w:t>BCKT việc quản lý, sử dụng tài chính công, tài sản công và Báo cáo cáo quyết toán ngân sách năm 2024 của Tòa án nhân dân tối cao</w:t>
            </w:r>
          </w:p>
        </w:tc>
      </w:tr>
      <w:tr w:rsidR="00A40329" w:rsidRPr="00E24264" w14:paraId="612EBF76" w14:textId="77777777" w:rsidTr="00A40329">
        <w:trPr>
          <w:cantSplit/>
          <w:trHeight w:val="231"/>
        </w:trPr>
        <w:tc>
          <w:tcPr>
            <w:tcW w:w="559" w:type="dxa"/>
          </w:tcPr>
          <w:p w14:paraId="612EBF6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6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Hải Dương</w:t>
            </w:r>
          </w:p>
        </w:tc>
        <w:tc>
          <w:tcPr>
            <w:tcW w:w="851" w:type="dxa"/>
          </w:tcPr>
          <w:p w14:paraId="612EBF6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7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F7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Chưa ban hành 06 văn bản: (1) Quy chuẩn kỹ thuật môi trường của địa phương theo quy định tại điểm a khoản 1 Điều 168 Luật BVMT năm 2020; (2) Lộ trình thực hiện di dời các cơ sở trên địa bàn tỉnh không đáp ứng khoảng cách an toàn về môi trường theo quy định tại Khoản 6 Điều 53 Luật Bảo vệ môi trường năm 2020; (3) Kế hoạch quản lý chất lượng môi trường nước mặt theo quy định tại điểm đ khoản 3 Điều 8 Luật BVMT năm 2020; văn bản công bố thông tin về môi trường nước mặt trên địa bàn không còn khả năng chịu tải và văn bản phê duyệt khả năng tiếp nhận nước thải, sức chịu tải của nguồn nước sông, hồ theo quy định tại khoản 1 Điều 7 và điểm c khoản 1, điểm d khoản 3 Điều 8 Luật BVMT năm 2020; (4) Kế hoạch ứng phó sự cố môi trường cấp tỉnh theo khoản 1 Điều 124 Luật BVMT năm 2020 và Kế hoạch ứng phó sự cố chất thải cấp tỉnh theo Mục IV.15 Quyết định số 146/QĐ-TTg ngày 23/02/2023 của Thủ tướng Chính phủ về Kế hoạch quốc gia ứng phó sự cố chất thải giai đoạn 2023-2030; (5) Quyết định về xác định vị trí, ranh giới của vùng bảo vệ nghiêm ngặt, vùng hạn chế phát thải trên địa bàn quản lý đã được xác định trong quy hoạch tỉnh trong kỳ quy hoạch theo quy định tại khoản 3 Điều 23 Nghị định số 08/2022/NĐ-CP ngày 10/01/2022 của Chính phủ về quy định chi tiết một số điều của Luật BVMT và điểm g Mục 6 Điều 1 Quyết định 611/QĐ-TTg ngày 08/7/2024 của Thủ tướng Chính phủ phê duyệt Quy hoạch bảo vệ </w:t>
            </w:r>
            <w:r w:rsidRPr="00E24264">
              <w:rPr>
                <w:rFonts w:ascii="Times New Roman" w:eastAsia="Times New Roman" w:hAnsi="Times New Roman" w:cs="Times New Roman"/>
                <w:sz w:val="20"/>
                <w:szCs w:val="20"/>
              </w:rPr>
              <w:lastRenderedPageBreak/>
              <w:t>môi trường quốc gia thời kỳ 2021-2030, tầm nhìn đến năm 2050; (6) Kế hoạch hành động thực hiện kinh tế tuần hoàn cấp tỉnh theo Điều 142 Luật BVMT năm 2020; điểm a khoản 3 Điều 139 Nghị định số 08/2022/NĐ-CP và Mục VIII.5 Quyết định số 222/QĐ-TTg ngày 23/01/2025 của Thủ tướng Chính phủ về Kế hoạch hành động quốc gia thực hiện kinh tế tuần hoàn đến năm 2035</w:t>
            </w:r>
          </w:p>
        </w:tc>
        <w:tc>
          <w:tcPr>
            <w:tcW w:w="3827" w:type="dxa"/>
          </w:tcPr>
          <w:p w14:paraId="612EBF72"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Nghiên cứu, xây dựng và ban hành các văn bản liên quan đến công tác quản lý, BVMT thuộc thẩm quyền của UBND tỉnh phù hợp thực tiễn của địa phương và quy định hiện hành: (i) Quy chuẩn kỹ thuật môi trường địa phương; (ii) Lộ trình thực hiện di dời các cơ sở trên địa bàn tỉnh không đáp ứng khoảng cách an toàn về môi trường; (iii) Kế hoạch quản lý chất lượng môi trường nước mặt; văn bản công bố thông tin về môi trường nước mặt trên địa bàn không còn khả năng chịu tải và văn bản phê duyệt khả năng tiếp nhận nước thải, sức chịu tải của nguồn nước sông, hồ; (iv) Kế hoạch ứng phó sự cố môi trường và Kế hoạch ứng phó sự cố chất thải cấp tỉnh; (v) Quyết định về xác định vị trí, ranh giới của vùng bảo vệ nghiêm ngặt, vùng hạn chế phát thải trên địa bàn quản lý đã được xác định trong quy hoạch tỉnh trong kỳ quy hoạch; (vi) Kế hoạch hành động thực hiện kinh tế tuần hoàn cấp tỉnh</w:t>
            </w:r>
          </w:p>
        </w:tc>
        <w:tc>
          <w:tcPr>
            <w:tcW w:w="2126" w:type="dxa"/>
          </w:tcPr>
          <w:p w14:paraId="612EBF7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Hải Dương giai đoạn 2022-2024</w:t>
            </w:r>
          </w:p>
        </w:tc>
      </w:tr>
      <w:tr w:rsidR="00A40329" w:rsidRPr="00E24264" w14:paraId="612EBF80" w14:textId="77777777" w:rsidTr="00A40329">
        <w:trPr>
          <w:cantSplit/>
          <w:trHeight w:val="231"/>
        </w:trPr>
        <w:tc>
          <w:tcPr>
            <w:tcW w:w="559" w:type="dxa"/>
          </w:tcPr>
          <w:p w14:paraId="612EBF7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7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Hải Dương</w:t>
            </w:r>
          </w:p>
        </w:tc>
        <w:tc>
          <w:tcPr>
            <w:tcW w:w="851" w:type="dxa"/>
          </w:tcPr>
          <w:p w14:paraId="612EBF7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7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F7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Chưa sửa đổi, cập nhật bổ sung 01 văn bản: Quyết định số 741/QĐ-UBND ngày 09/3/2021 của UBND tỉnh Hải Dương về việc phê duyệt triển khai mạng lưới các điểm quan trắc môi trường nước, không khí trên địa bàn tỉnh Hải Dương, giai đoạn 2021 - 2025</w:t>
            </w:r>
          </w:p>
        </w:tc>
        <w:tc>
          <w:tcPr>
            <w:tcW w:w="3827" w:type="dxa"/>
          </w:tcPr>
          <w:p w14:paraId="612EBF7C"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điều chỉnh, bổ sung Quyết định số 741/QĐ-UBND ngày 09/3/2021 của UBND tỉnh Hải Dương về việc phê duyệt mạng lưới các điểm quan trắc môi trường nước, không khí trên địa bàn tỉnh Hải Dương, giai đoạn 2021 - 2025 bảo đảm phù hợp thực tiễn của địa phương và quy định hiện hành</w:t>
            </w:r>
          </w:p>
        </w:tc>
        <w:tc>
          <w:tcPr>
            <w:tcW w:w="2126" w:type="dxa"/>
          </w:tcPr>
          <w:p w14:paraId="612EBF7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Hải Dương giai đoạn 2022-2024</w:t>
            </w:r>
          </w:p>
        </w:tc>
      </w:tr>
      <w:tr w:rsidR="00A40329" w:rsidRPr="00E24264" w14:paraId="612EBFA8" w14:textId="77777777" w:rsidTr="00A40329">
        <w:trPr>
          <w:cantSplit/>
          <w:trHeight w:val="231"/>
        </w:trPr>
        <w:tc>
          <w:tcPr>
            <w:tcW w:w="559" w:type="dxa"/>
          </w:tcPr>
          <w:p w14:paraId="612EBF9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A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Cà Mau</w:t>
            </w:r>
          </w:p>
        </w:tc>
        <w:tc>
          <w:tcPr>
            <w:tcW w:w="851" w:type="dxa"/>
          </w:tcPr>
          <w:p w14:paraId="612EBFA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A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FA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Đến thời điểm hiện nay, theo báo cáo của Sở Tài chính, địa phương chưa hoàn thành lộ trình tính giá dịch vụ sự nghiệp công theo quy định theo khoản 3 Điều 5 Nghị định số 60/2021/NĐ-CP ngày 21/06/2021 của Chính phủ…Chưa ban hành tiêu chí, tiêu chuẩn chất lượng dịch vụ sự nghiệp công, cơ chế giám sát… theo quy định tại Điều 37 Nghị định số 60/2021/NĐ-CP của Chính phủ.</w:t>
            </w:r>
          </w:p>
        </w:tc>
        <w:tc>
          <w:tcPr>
            <w:tcW w:w="3827" w:type="dxa"/>
          </w:tcPr>
          <w:p w14:paraId="612EBFA4"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Chỉ đạo Sở Tài chính: Chủ trì phối hợp với các đơn vị có liên quan tham mưu cho UBND Tỉnh hoàn thành lộ trình tính giá dịch vụ sự nghiệp công theo quy định theo khoản 3 Điều 5 Nghị định số 60/2021/NĐ-CP ngày 21/06/2021 của Chính phủ; ban hành tiêu chí, tiêu chuẩn chất lượng dịch vụ sự nghiệp công, cơ chế giám sát…theo quy định tại Điều 37 Nghị định số 60/2021/NĐ-CP của Chính phủ</w:t>
            </w:r>
          </w:p>
        </w:tc>
        <w:tc>
          <w:tcPr>
            <w:tcW w:w="2126" w:type="dxa"/>
          </w:tcPr>
          <w:p w14:paraId="612EBFA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và Chuyên đề việc thực hiện các chính sách ưu đãi đầu tư tại Khu kinh tế, Khu công nghiệp giai đoạn 2022-2024 tại tỉnh Cà Mau</w:t>
            </w:r>
          </w:p>
        </w:tc>
      </w:tr>
      <w:tr w:rsidR="00A40329" w:rsidRPr="00E24264" w14:paraId="612EBFBE" w14:textId="77777777" w:rsidTr="00A40329">
        <w:trPr>
          <w:cantSplit/>
          <w:trHeight w:val="231"/>
        </w:trPr>
        <w:tc>
          <w:tcPr>
            <w:tcW w:w="559" w:type="dxa"/>
          </w:tcPr>
          <w:p w14:paraId="612EBFB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B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BFB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B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FB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Trong năm 2024, UBND tỉnh Cà Mau sử dụng dự phòng ngân sách tỉnh để chi bổ sung kinh phí Dự án Trồng lúa kết hợp nuôi tôm càng xanh tại tỉnh Khăm Muồn, CHDNCN Lào năm 2024 số tiền 3.427 trđ từ nguồn dự phòng ngân sách theo quy định tại khoản 3 Điều 10 Luật NSNN. Tuy nhiên, quy định tại khoản 2 Điều 10 Luật NSNN chưa có quy định về nội dung chi hỗ trợ cho các nước có chung đường biên giới để đảm bảo an ninh cũng như phát triển kinh tế xã hội của đất nước và các tỉnh mặc dù thực tế các địa phương có phát sinh khoản chi này</w:t>
            </w:r>
          </w:p>
        </w:tc>
        <w:tc>
          <w:tcPr>
            <w:tcW w:w="3827" w:type="dxa"/>
          </w:tcPr>
          <w:p w14:paraId="612EBFB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xem xét tham mưu Chính phủ trình Quốc hội xem xét, quyết định bổ sung nội dung chi hỗ trợ nước bạn trong việc hợp tác đảm bảo an ninh quốc phòng giữa 2 nước từ nguồn dự phòng ngân sách theo Điều 10 Luật NSNN.</w:t>
            </w:r>
          </w:p>
        </w:tc>
        <w:tc>
          <w:tcPr>
            <w:tcW w:w="2126" w:type="dxa"/>
          </w:tcPr>
          <w:p w14:paraId="612EBFB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và Chuyên đề việc thực hiện các chính sách ưu đãi đầu tư tại Khu kinh tế, Khu công nghiệp giai đoạn 2022-2024 tại tỉnh Cà Mau</w:t>
            </w:r>
          </w:p>
        </w:tc>
      </w:tr>
      <w:tr w:rsidR="00A40329" w:rsidRPr="00E24264" w14:paraId="612EBFCA" w14:textId="77777777" w:rsidTr="00A40329">
        <w:trPr>
          <w:cantSplit/>
          <w:trHeight w:val="231"/>
        </w:trPr>
        <w:tc>
          <w:tcPr>
            <w:tcW w:w="559" w:type="dxa"/>
          </w:tcPr>
          <w:p w14:paraId="612EBFB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C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Cục Thuế</w:t>
            </w:r>
          </w:p>
        </w:tc>
        <w:tc>
          <w:tcPr>
            <w:tcW w:w="851" w:type="dxa"/>
          </w:tcPr>
          <w:p w14:paraId="612EBFC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C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FC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điểm d khoản 2.2 Mục III Phần II Quyết định số 970/QĐ-TCT ngày 14/07/2023 có nêu:“ Trường hợp trong quá trình kiểm tra thuế hoặc khi kết thúc kiểm tra mà phát hiện hành vi trốn thuế có dấu hiệu tội phạm thì trong thời hạn 5 (năm) ngày làm việc kể từ ngày phát hiện hành vi vi phạm, Trưởng đoàn kiểm tra có trách nhiệm báo cáo Lãnh đạo bộ phận kiểm tra thuế trình Thủ trưởng cơ quan thuế xem xét chuyển hồ sơ sang cơ quan điều tra theo quy định của pháp luật.”</w:t>
            </w:r>
          </w:p>
          <w:p w14:paraId="612EBFC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Tại điểm e.2 khoản 5 Điều 72 Thông tư số 80/2021/TT-BTC ngày 29/9/2021 của Bộ Tài chính quy định:“ Trường hợp qua kiểm tra thuế mà phát hiện hành vi vi phạm về thuế có dấu hiệu trốn thuế, </w:t>
            </w:r>
            <w:r w:rsidRPr="00E24264">
              <w:rPr>
                <w:rFonts w:ascii="Times New Roman" w:eastAsia="Times New Roman" w:hAnsi="Times New Roman" w:cs="Times New Roman"/>
                <w:sz w:val="20"/>
                <w:szCs w:val="20"/>
              </w:rPr>
              <w:lastRenderedPageBreak/>
              <w:t>gian lận về thuế thì trong thời hạn 05 ngày làm việc kể từ ngày kết thúc kiểm tra, đoàn kiểm tra có trách nhiệm báo cáo Thủ trưởng cơ quan thuế để xem xét tiến hành thanh tra hoặc chuyển hồ sơ kiểm tra sang cơ quan điều tra theo quy định của pháp luật.”,</w:t>
            </w:r>
          </w:p>
          <w:p w14:paraId="612EBFC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Như vậy, theo Quyết định số 970/QĐ-TCT ngày 14/07/2023 của Tổng cục trưởng Tổng cục Thuế khi kết thúc kiểm tra mà phát hiện hành vi trốn thuế có dấu hiệu tội phạm thì xem xét chuyển hồ sơ sang cơ quan điều tra; còn Thông tư số 80/2021/TT-BTC ngày 29/9/2021 của Bộ Tài chính khi phát hiện hành vi vi phạm về thuế có dấu hiệu trốn thuế, gian lận về thuế để xem xét tiến hành thanh tra hoặc chuyển hồ sơ kiểm tra sang cơ quan điều tra theo quy định của pháp luật. Từ đó cho thấy Quyết định số 970/QĐ-TCT ngày 14/07/2023 còn có nội dung chưa thống nhất với Thông tư số 80/2021/TT-BTC</w:t>
            </w:r>
          </w:p>
        </w:tc>
        <w:tc>
          <w:tcPr>
            <w:tcW w:w="3827" w:type="dxa"/>
          </w:tcPr>
          <w:p w14:paraId="612EBFC6"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Rà soát sửa đổi, bổ sung điểm d khoản 2.2 Mục III Phần II Quyết định số 970/QĐ-TCT ngày 14/07/2023 của Tổng cục trưởng Tổng cục Thuế để phù hợp với Thông tư số 80/2021/TT-BTC ngày 29/9/2021 của Bộ Tài chính. </w:t>
            </w:r>
          </w:p>
        </w:tc>
        <w:tc>
          <w:tcPr>
            <w:tcW w:w="2126" w:type="dxa"/>
          </w:tcPr>
          <w:p w14:paraId="612EBFC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và Chuyên đề việc thực hiện các chính sách ưu đãi đầu tư tại Khu kinh tế, Khu công nghiệp giai đoạn 2022-2024 tại tỉnh Cà Mau</w:t>
            </w:r>
          </w:p>
        </w:tc>
      </w:tr>
      <w:tr w:rsidR="00A40329" w:rsidRPr="00E24264" w14:paraId="612EBFD4" w14:textId="77777777" w:rsidTr="00A40329">
        <w:trPr>
          <w:cantSplit/>
          <w:trHeight w:val="231"/>
        </w:trPr>
        <w:tc>
          <w:tcPr>
            <w:tcW w:w="559" w:type="dxa"/>
          </w:tcPr>
          <w:p w14:paraId="612EBFC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C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Cục Thuế</w:t>
            </w:r>
          </w:p>
        </w:tc>
        <w:tc>
          <w:tcPr>
            <w:tcW w:w="851" w:type="dxa"/>
          </w:tcPr>
          <w:p w14:paraId="612EBFC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 số 1129/QĐ-TCT ngày 20/7/2022</w:t>
            </w:r>
          </w:p>
        </w:tc>
        <w:tc>
          <w:tcPr>
            <w:tcW w:w="851" w:type="dxa"/>
          </w:tcPr>
          <w:p w14:paraId="612EBFC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FC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định về cách thức lựa chọn các trường hợp tạm hoãn xuất cảnh, đối tượng tạm hoãn xuất cảnh, thông báo về việc tạm hoãn xuất cảnh theo khoản 1 mục V Phần II Quy trình quản lý nợ ban hành kèm theo Quyết định số 1129/QĐ-TCT ngày 20/7/2022 của Tổng cục trưởng Tổng cục Thuế không còn phù hợp với quy định tại khoản 9 Điều 6 Luật số 56/2024/QH15 ngày 29/11/2024, Nghị định số 49/2025/NĐ-CP ngày 28/02/2025 của Chính phủ quy định về ngưỡng áp dụng tạm hoãn xuất cảnh</w:t>
            </w:r>
          </w:p>
        </w:tc>
        <w:tc>
          <w:tcPr>
            <w:tcW w:w="3827" w:type="dxa"/>
          </w:tcPr>
          <w:p w14:paraId="612EBFD0"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bổ sung quy định về tạm hoãn xuất cảnh tại khoản 1 mục V Phần II Quy trình quản lý nợ tại Quyết định số 1129/QĐ-TCT ngày 20/7/2022 cho phù hợp với khoản 9 Điều 6 Luật số 56/2024/QH15 ngày 29/11/2024 và hướng dẫn tại Nghị định số 49/2025/NĐ-CP ngày 28/02/2025 của Chính phủ quy định về ngưỡng áp dụng tạm hoãn xuất cảnh.</w:t>
            </w:r>
          </w:p>
        </w:tc>
        <w:tc>
          <w:tcPr>
            <w:tcW w:w="2126" w:type="dxa"/>
          </w:tcPr>
          <w:p w14:paraId="612EBFD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và Chuyên đề việc thực hiện các chính sách ưu đãi đầu tư tại Khu kinh tế, Khu công nghiệp giai đoạn 2022-2024 tại tỉnh Cà Mau</w:t>
            </w:r>
          </w:p>
        </w:tc>
      </w:tr>
      <w:tr w:rsidR="00A40329" w:rsidRPr="00E24264" w14:paraId="612EBFDE" w14:textId="77777777" w:rsidTr="00A40329">
        <w:trPr>
          <w:cantSplit/>
          <w:trHeight w:val="231"/>
        </w:trPr>
        <w:tc>
          <w:tcPr>
            <w:tcW w:w="559" w:type="dxa"/>
          </w:tcPr>
          <w:p w14:paraId="612EBFD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D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Cục Thuế</w:t>
            </w:r>
          </w:p>
        </w:tc>
        <w:tc>
          <w:tcPr>
            <w:tcW w:w="851" w:type="dxa"/>
          </w:tcPr>
          <w:p w14:paraId="612EBFD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Quyết định số 1614/QĐ-TCT ngày 13/10/2020</w:t>
            </w:r>
          </w:p>
        </w:tc>
        <w:tc>
          <w:tcPr>
            <w:tcW w:w="851" w:type="dxa"/>
          </w:tcPr>
          <w:p w14:paraId="612EBFD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BFD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quy định tại điểm a khoản 6 Điều 72 Thông tư số 80/2021/TT-BTC ngày 29/9/2021 của Bộ Tài chính quy định: “Trường hợp Người ban hành quyết định kiểm tra thuế tự thực hiện giám sát thì được quy định tại Quyết định kiểm tra...”. Tuy nhiên, mẫu quyết định kiểm tra thuế (Mẫu 04/KKT) ban hành kèm theo Thông tư số 80/2021/TT-BTC không có nội dung tự giám sát; đồng thời khoản 1 Điều 6 Quyết định số 1614/QĐ-TCT ngày 13/10/2020 của Tổng cục Thuế về quy chế giám sát hoạt động của đoàn thanh tra, kiểm tra thuế quy định: “1. Người ra quyết định thanh tra, kiểm tra thuế căn cứ vào phạm vi, quy mô, tính chất và nội dung của cuộc thanh tra, kiểm tra, quyết định tự giám sát, thành lập Tổ giám sát hoặc giao cho công chức thuộc thẩm quyền thực hiện việc giám sát hoạt động của Đoàn thanh tra, kiểm tra thuế và chịu trách nhiệm về kết quả giám sát”, chưa có đầy đủ nội dung về trường hợp tự thực hiện giám sát được quy định tại Quyết định kiểm tra theo quy định tại khoản 6 Điều 72 Thông tư số 80/2021/TT-BTC</w:t>
            </w:r>
          </w:p>
        </w:tc>
        <w:tc>
          <w:tcPr>
            <w:tcW w:w="3827" w:type="dxa"/>
          </w:tcPr>
          <w:p w14:paraId="612EBFD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Rà soát sửa đổi, bổ sung Quyết định số 1614/QĐ-TCT ngày 13/10/2020 của Tổng cục Thuế về Ban hành quy chế giám sát hoạt động của đoàn thanh tra, kiểm tra thuế cho phù hợp với khoản 6 Điều 72 Thông tư số 80/2021/TT-BTC ngày 29/9/2021 (Trường hợp Người ban hành quyết định kiểm tra thuế tự thực hiện giám sát thì được quy định tại Quyết định kiểm tra. Trường hợp giao giám sát thì Người ban hành Quyết định kiểm tra ban hành Quyết định giám sát).</w:t>
            </w:r>
          </w:p>
        </w:tc>
        <w:tc>
          <w:tcPr>
            <w:tcW w:w="2126" w:type="dxa"/>
          </w:tcPr>
          <w:p w14:paraId="612EBFD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và Chuyên đề việc thực hiện các chính sách ưu đãi đầu tư tại Khu kinh tế, Khu công nghiệp giai đoạn 2022-2024 tại tỉnh Cà Mau</w:t>
            </w:r>
          </w:p>
        </w:tc>
      </w:tr>
      <w:tr w:rsidR="00A40329" w:rsidRPr="00E24264" w14:paraId="612EBFEA" w14:textId="77777777" w:rsidTr="00A40329">
        <w:trPr>
          <w:cantSplit/>
          <w:trHeight w:val="231"/>
        </w:trPr>
        <w:tc>
          <w:tcPr>
            <w:tcW w:w="559" w:type="dxa"/>
          </w:tcPr>
          <w:p w14:paraId="612EBFD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E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BFE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E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Hủy bỏ</w:t>
            </w:r>
          </w:p>
        </w:tc>
        <w:tc>
          <w:tcPr>
            <w:tcW w:w="5672" w:type="dxa"/>
          </w:tcPr>
          <w:p w14:paraId="612EBFE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BQL các KCN Phú Thọ chủ trì xây dựng và tham mưu UBND tỉnh ban hành 02 Quy chế phối hợp thực hiện một số nhiệm vụ quản lý nhà nước đối với các KCN trên địa bàn tỉnh Phú Thọ  có hiệu lực </w:t>
            </w:r>
            <w:r w:rsidRPr="00E24264">
              <w:rPr>
                <w:rFonts w:ascii="Times New Roman" w:eastAsia="Times New Roman" w:hAnsi="Times New Roman" w:cs="Times New Roman"/>
                <w:sz w:val="20"/>
                <w:szCs w:val="20"/>
              </w:rPr>
              <w:lastRenderedPageBreak/>
              <w:t>trong giai đoạn 2022 – 2024. Qua kiểm toán cho thấy một số tồn tại sau:</w:t>
            </w:r>
          </w:p>
          <w:p w14:paraId="612EBFE5" w14:textId="3DA791A5"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chế phối hợp thực hiện một số nhiệm vụ quản lý nhà nước đối với các KCN trên địa bàn tỉnh Phú Thọ tại Quyết định số 13/2017/QĐ-UBND ngày 21/4/2017 và số 2600/QĐ-UBND ngày 04/12/2023 của UBND tỉnh Phú Thọ quy định công tác quản lý CCN đối với BQL là chưa phù hợp với chức năng, nhiệm vụ về quản lý KCN của BQL quy định tại Điều 67 Nghị định 35/2022/NĐ-CP và Quyết định số 16/2023/QĐ-UBND ngày 28/7/2023 của UBND tỉnh Phú Thọ quy định chức năng, nhiệm vụ, quyền hạn và cơ cấu tổ chức của BQL các KCN Phú Thọ. Theo đó, công tác quản lý nhà nước đối với CCN thuộc trách nhiệm của Sở Công Thương theo quy định tại khoản 3 Điều 19 Quyết định số 105/2009/QĐ-TTg ngày 19/8/2009 ; Điều 43  Nghị định 68/2017/NĐ-CP ngày 25/5/2017; Điều 33 Nghị định số 32/2024/NĐ-CP ngày 15/3/2024 của Chính phủ về quản lý, phát triển CCN và Quyết định số 02/2025/QĐ-UBND ngày 02/01/2025 của UBND tỉnh Phú Thọ ban hành Quy chế quản lý CCN trên địa bàn tỉnh Phú Thọ. Theo giải trình của đơn vị, BQL thực hiện nhiệm vụ quản lý CCN theo Quyết định số 874/QĐ-UBND ngày 03/4/2012 của UBND tỉnh về việc giao nhiệm vụ quản lý nhà nước đối với CCN Đồng Lạng và CCN Bạch Hạc cho BQL các KCN tỉnh.</w:t>
            </w:r>
          </w:p>
        </w:tc>
        <w:tc>
          <w:tcPr>
            <w:tcW w:w="3827" w:type="dxa"/>
          </w:tcPr>
          <w:p w14:paraId="612EBFE6"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Rà soát, bãi bỏ Quyết định số 874/QĐ-UBND ngày 03/4/2012 của UBND tỉnh về việc giao nhiệm vụ quản lý nhà nước đối với CCN </w:t>
            </w:r>
            <w:r w:rsidRPr="00E24264">
              <w:rPr>
                <w:rFonts w:ascii="Times New Roman" w:eastAsia="Times New Roman" w:hAnsi="Times New Roman" w:cs="Times New Roman"/>
                <w:sz w:val="20"/>
                <w:szCs w:val="20"/>
              </w:rPr>
              <w:lastRenderedPageBreak/>
              <w:t>Đồng Lạng và CCN Bạch Hạc cho BQL các KCN Phú Thọ chưa phù hợp với quy định pháp luật hiện hành.</w:t>
            </w:r>
          </w:p>
        </w:tc>
        <w:tc>
          <w:tcPr>
            <w:tcW w:w="2126" w:type="dxa"/>
          </w:tcPr>
          <w:p w14:paraId="612EBFE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Hoạt động quản lý môi trường tại các khu công nghiệp của tỉnh Phú </w:t>
            </w:r>
            <w:r w:rsidRPr="00E24264">
              <w:rPr>
                <w:rFonts w:ascii="Times New Roman" w:eastAsia="Times New Roman" w:hAnsi="Times New Roman" w:cs="Times New Roman"/>
                <w:sz w:val="20"/>
                <w:szCs w:val="20"/>
              </w:rPr>
              <w:lastRenderedPageBreak/>
              <w:t>Thọ giai đoạn 2022 - 2024</w:t>
            </w:r>
          </w:p>
        </w:tc>
      </w:tr>
      <w:tr w:rsidR="00A40329" w:rsidRPr="00E24264" w14:paraId="612EBFFA" w14:textId="77777777" w:rsidTr="00A40329">
        <w:trPr>
          <w:cantSplit/>
          <w:trHeight w:val="231"/>
        </w:trPr>
        <w:tc>
          <w:tcPr>
            <w:tcW w:w="559" w:type="dxa"/>
          </w:tcPr>
          <w:p w14:paraId="612EBFE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E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BFE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E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FE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Căn cứ điểm đ khoản 3 Điều 8 và khoản 3 Điều 9 Luật BVMT năm 2020, UBND tỉnh có trách nhiệm ban hành kế hoạch quản lý chất lượng môi trường nước mặt theo thời kỳ 5 năm. UBND tỉnh Phú Thọ đã giao Sở TN&amp;MT chủ trì báo cáo nội dung "Kế hoạch quản lý chất lượng môi trường nước mặt giai đoạn 2022-2025" trong tháng 8/2022 tại Quyết định số 146/QĐ-UBND ngày 20/01/2022 của UBND tỉnh Phú Thọ về việc ban hành Chương trình làm việc của UBND tỉnh và Chủ tịch, các Phó Chủ tịch tỉnh năm 2022.</w:t>
            </w:r>
          </w:p>
          <w:p w14:paraId="612EBFF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Ngày 04/4/2022, Sở TN&amp;MT có Văn bản số 767/TNMT-CCMT gửi UBND tỉnh đề xuất xây dựng kế hoạch quản lý chất lượng môi trường nước mặt cấp tỉnh.</w:t>
            </w:r>
          </w:p>
          <w:p w14:paraId="612EBFF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Ngày 26/4/2022, UBND tỉnh đã có văn bản  giao Sở TN&amp;MT chủ trì, tổ chức lựa chọn đơn vị lập đề cương, dự toán nhiệm vụ Xây dựng Kế hoạch quản lý chất lượng môi trường nước mặt tỉnh Phú Thọ đến năm 2025, định hướng đến năm 2030. </w:t>
            </w:r>
          </w:p>
          <w:p w14:paraId="612EBFF2"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Ngày 25/8/2022, Sở TN&amp;MT có Văn bản số 2149/TNMT-CCMT gửi UBND tỉnh về việc lùi thời gian báo cáo Kế hoạch quản lý chất lượng môi trường nước mặt tỉnh Phú Thọ đến năm 2025, định hướng đến năm 2030 với lý do "hiện nay Bộ TN&amp;MT đang trong quá trình dự thảo  hướng dẫn kỹ thuật về lập kế hoạch quản lý chất lượng môi </w:t>
            </w:r>
            <w:r w:rsidRPr="00E24264">
              <w:rPr>
                <w:rFonts w:ascii="Times New Roman" w:eastAsia="Times New Roman" w:hAnsi="Times New Roman" w:cs="Times New Roman"/>
                <w:sz w:val="20"/>
                <w:szCs w:val="20"/>
              </w:rPr>
              <w:lastRenderedPageBreak/>
              <w:t>trường nước mặt nhằm hướng dẫn về chuyên môn cho các cơ quan trong quá trình xây dựng và trình ban hành kế hoạch quản lý chất lượng môi trường nước mặt (chưa có quy định cụ thể) nên còn khó khăn trong triển khai thực hiện" và được UBND tỉnh đồng ý đề xuất gia hạn thời gian tại Văn bản số 3908/UBND-NNTN ngày 04/10/2022. Thời gian cụ thể sẽ thực hiện theo tiến độ tại Nhiệm vụ, dự toán đang được Sở TN&amp;MT xây dựng, trình UBND tỉnh phê duyệt.</w:t>
            </w:r>
          </w:p>
          <w:p w14:paraId="612EBFF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Ngày 24/02/2023, Bộ TN&amp;MT có Văn bản số 1068/BTNMT-KSONMT gửi UBND các tỉnh, thành phố trực thuộc Trung ương về việc hướng dẫn kỹ thuật về lập kế hoạch quản lý chất lượng môi trường nước mặt theo quy định của Luật BVMT. Sở TN&amp;MT đã triển khai khảo sát, thu thập số liệu theo hướng dẫn của Bộ TN&amp;MT, lập nhiệm vụ và dự toán gửi Sở Tài chính thẩm định Đề cương và dự toán nhiệm vụ Xây dựng Kế hoạch quản lý chất lượng môi trường nước mặt tỉnh Phú Thọ đến năm 2025, định hướng đến năm 2030 tại Văn bản số 497/TNMT-VP ngày 06/3/2024. </w:t>
            </w:r>
          </w:p>
          <w:p w14:paraId="612EBFF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Ngày 13/5/2024, Sở Tài chính đã trả lại hồ sơ đề nghị thẩm định Đề cương và dự toán nhiệm vụ Xây dựng Kế hoạch để rà soát và xây dựng dự toán theo quy định mới của Bộ TN&amp;MT về đơn giá sản phẩm quan trắc môi trường và TNN (theo mức lương cơ sở 1.800.000 đồng/tháng) . </w:t>
            </w:r>
          </w:p>
          <w:p w14:paraId="612EBFF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Đến thời điểm kiểm toán (tháng 4/2025), Sở NN&amp;MT vẫn chưa hoàn thiện Đề cương và dự toán nhiệm vụ theo ý kiến của Sở Tài chính. Theo giải trình của Sở NN&amp;MT, do còn vướng mắc nội dung dự toán nhiệm vụ (chưa có đơn giá quan trắc môi trường trên địa bàn tỉnh), nên Sở chưa hoàn thiện Đề cương và dự toán nhiệm vụ theo ý kiến thẩm định của Sở Tài chính để trình UBND tỉnh phê duyệt làm cơ sở triển khai thực hiện. Hiện nay Sở đang triển khai thực hiện gói thầu xây dựng đơn giá quan trắc môi trường, sau khi đơn giá được duyệt, Sở sẽ hoàn thiện nhiệm vụ dự toán trình UBND tỉnh để triển khai xây dựng các kế hoạch.</w:t>
            </w:r>
          </w:p>
        </w:tc>
        <w:tc>
          <w:tcPr>
            <w:tcW w:w="3827" w:type="dxa"/>
          </w:tcPr>
          <w:p w14:paraId="612EBFF6"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Nghiên cứu, xây dựng và ban hành đơn giá quan trắc môi trường phù hợp với quy định hiện hành làm cơ sở hoàn thiện, ban hành Kế hoạch quản lý chất lượng môi trường nước mặt tỉnh Phú Thọ và Kế hoạch quản lý chất lượng môi trường không khí tỉnh Phú Thọ giai đoạn 2021-2025, định hướng đến năm 2030.</w:t>
            </w:r>
          </w:p>
        </w:tc>
        <w:tc>
          <w:tcPr>
            <w:tcW w:w="2126" w:type="dxa"/>
          </w:tcPr>
          <w:p w14:paraId="612EBFF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05" w14:textId="77777777" w:rsidTr="00A40329">
        <w:trPr>
          <w:cantSplit/>
          <w:trHeight w:val="231"/>
        </w:trPr>
        <w:tc>
          <w:tcPr>
            <w:tcW w:w="559" w:type="dxa"/>
          </w:tcPr>
          <w:p w14:paraId="612EBFF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BFF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BFF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BFF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BFF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Khoản 6 Điều 53 Luật BVMT năm 2020 quy định: "UBND cấp tỉnh ban hành lộ trình thực hiện đối với cơ sở quy định tại khoản 2  Điều này đang hoạt động trên địa bàn không đáp ứng khoảng cách an toàn về môi trường". Tuy nhiên, giai đoạn 2022-2024, Sở TN&amp;MT chưa tham mưu xây dựng, ban hành Lộ trình thực hiện khoảng cách an toàn về môi trường đối với khu dân cư theo quy định tại khoản 6 Điều 53 Luật BVMT năm 2020 và hướng dẫn tại: (1) Điều 52 Nghị định số 08/2022/NĐ-CP ngày 10/01/2022 của Chính phủ quy định chi tiết một số điều của Luật BVMT; (2) Thông tư số 01/2021/TT-</w:t>
            </w:r>
            <w:r w:rsidRPr="00E24264">
              <w:rPr>
                <w:rFonts w:ascii="Times New Roman" w:eastAsia="Times New Roman" w:hAnsi="Times New Roman" w:cs="Times New Roman"/>
                <w:sz w:val="20"/>
                <w:szCs w:val="20"/>
              </w:rPr>
              <w:lastRenderedPageBreak/>
              <w:t xml:space="preserve">BXD ngày 19/05/2021 của Bộ Xây dựng ban hành QCVN 01:2021/BXD Quy chuẩn kỹ thuật quốc gia về Quy hoạch xây dựng. </w:t>
            </w:r>
          </w:p>
          <w:p w14:paraId="612EC00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Theo giải trình của Sở NN&amp;MT, do Bộ TN&amp;MT mới ban hành Thông tư số 02/2025/TT-BTNMT ngày 12/02/2025 ban hành Quy chuẩn kỹ thuật quốc gia về khoảng cách an toàn về môi trường đối với khu dân cư của cơ sở sản xuất, kinh doanh, dịch vụ và kho tàng có nguy cơ phát tán bụi, mùi khó chịu, tiếng ồn tác động xấu đến sức khỏe con người; nên giai đoạn 2022-2024, Sở TN&amp;MT chưa có cơ sở xây dựng và tham mưu UBND tỉnh Phú Thọ ban hành.</w:t>
            </w:r>
          </w:p>
        </w:tc>
        <w:tc>
          <w:tcPr>
            <w:tcW w:w="3827" w:type="dxa"/>
          </w:tcPr>
          <w:p w14:paraId="612EC001"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Nghiên cứu, xây dựng và sớm tham mưu UBND tỉnh Phú Thọ ban hành Lộ trình thực hiện khoảng cách an toàn về môi trường đối với khu dân cư phù hợp với quy định pháp luật hiện hành.</w:t>
            </w:r>
          </w:p>
        </w:tc>
        <w:tc>
          <w:tcPr>
            <w:tcW w:w="2126" w:type="dxa"/>
          </w:tcPr>
          <w:p w14:paraId="612EC002"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16" w14:textId="77777777" w:rsidTr="00A40329">
        <w:trPr>
          <w:cantSplit/>
          <w:trHeight w:val="231"/>
        </w:trPr>
        <w:tc>
          <w:tcPr>
            <w:tcW w:w="559" w:type="dxa"/>
          </w:tcPr>
          <w:p w14:paraId="612EC00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0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0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0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0A"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Đối với CTR công nghiệp thông thường</w:t>
            </w:r>
          </w:p>
          <w:p w14:paraId="612EC00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Điểm c khoản 5 Điều 81 Luật BVMT năm 2020 quy định: "Phương tiện vận chuyển CTR công nghiệp thông thường phải xử lý phải có thiết bị định vị đáp ứng yêu cầu kỹ thuật, hoạt động theo tuyến đường và thời gian quy định của UBND cấp tỉnh". </w:t>
            </w:r>
          </w:p>
          <w:p w14:paraId="612EC00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Đối với CTNH</w:t>
            </w:r>
          </w:p>
          <w:p w14:paraId="612EC00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Căn cứ khoản 3 Điều 83 Luật BVMT năm 2020: "CTNH khi vận chuyển phải được lưu chứa và vận chuyển bằng thiết bị, phương tiện chuyên dụng phù hợp đến cơ sở xử lý chất thải. Phương tiện vận chuyển CTNH phải lắp đặt thiết bị định vị; hoạt động theo tuyến đường và thời gian theo quy định của UBND cấp tỉnh". </w:t>
            </w:r>
          </w:p>
          <w:p w14:paraId="612EC00E"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Qua kiểm toán cho thấy, UBND tỉnh Phú Thọ áp dụng:</w:t>
            </w:r>
          </w:p>
          <w:p w14:paraId="612EC00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Yêu cầu kỹ thuật về BVMT đối với phương tiện vận chuyển CTR công nghiệp thông thường và CTNH lần lượt theo quy định tại Điều 34 và Điều 37 Thông tư số 02/2022/TT-BTNMT ngày 10/01/2022 của Bộ TN&amp;MT quy định chi tiết thi hành một số điều của Luật BVMT. </w:t>
            </w:r>
          </w:p>
          <w:p w14:paraId="612EC01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Thiết bị định vị lắp đặt trên phương tiện vận chuyển CTR công nghiệp thông thường và CTNH lần lượt theo quy định QCVN 31:2014/BGTVT - Quy chuẩn kỹ thuật quốc gia về thiết bị giám sát hành trình của xe ô tô ban hành kèm theo Thông tư số 73/2014/TT- BGTVT ngày 15/12/2014 của Bộ Giao thông vận tải.</w:t>
            </w:r>
          </w:p>
          <w:p w14:paraId="612EC01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Tuy nhiên, UBND tỉnh Phú Thọ chưa ban hành quy định về yêu cầu tuyến đường và thời gian hoạt động của phương tiện vận chuyển CTR công nghiệp thông thường và CTNH trên địa bàn tỉnh Phú Thọ lần lượt theo quy định tại điểm c khoản 5 Điều 81 và khoản 3 Điều 83 Luật BVMT năm 2020.</w:t>
            </w:r>
          </w:p>
        </w:tc>
        <w:tc>
          <w:tcPr>
            <w:tcW w:w="3827" w:type="dxa"/>
          </w:tcPr>
          <w:p w14:paraId="612EC012"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xây dựng và ban hành Quy định về tuyến đường và thời gian hoạt động của phương tiện vận chuyển CTR công nghiệp thông thường và CTNH phù hợp với quy định pháp luật hiện hành.</w:t>
            </w:r>
          </w:p>
        </w:tc>
        <w:tc>
          <w:tcPr>
            <w:tcW w:w="2126" w:type="dxa"/>
          </w:tcPr>
          <w:p w14:paraId="612EC01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24" w14:textId="77777777" w:rsidTr="00A40329">
        <w:trPr>
          <w:cantSplit/>
          <w:trHeight w:val="231"/>
        </w:trPr>
        <w:tc>
          <w:tcPr>
            <w:tcW w:w="559" w:type="dxa"/>
          </w:tcPr>
          <w:p w14:paraId="612EC01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1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1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1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1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Khoản 3 Điều 23 Nghị định 08/2022/NĐ-CP quy định: "UBND cấp tỉnh ban hành quyết định về xác định vị trí, ranh giới của vùng bảo vệ nghiêm ngặt, vùng hạn chế phát thải trên địa bàn quản lý đã được xác định trong quy hoạch tỉnh trong kỳ quy hoạch.”. </w:t>
            </w:r>
          </w:p>
          <w:p w14:paraId="612EC01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Căn cứ Phụ lục XVIII. Phương án phân vùng BVMT tỉnh Phú Thọ thời kỳ 2021-2030 ban hành kèm theo Quyết định số 1579/QĐ-TTg ngày 05/12/2023 của Thủ tướng Chính phủ phê duyệt Quy hoạch tỉnh Phú Thọ thời kỳ 2021-2030, tầm nhìn đến năm 2050:</w:t>
            </w:r>
          </w:p>
          <w:p w14:paraId="612EC01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Vùng bảo vệ nghiêm ngặt, gồm: (1) Khu dân cư tập trung của đô thị cấp I, II, III; (2) Nguồn nước mặt được dùng cho mục đích cấp nước sinh hoạt; (3) Khu bảo tồn thiên nhiên và di sản thiên nhiên; (4) Khu vực bảo vệ 1 của di tích lịch – sử - văn hóa.</w:t>
            </w:r>
          </w:p>
          <w:p w14:paraId="612EC01E"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Vùng hạn chế phát thải, gồm: (1) Vùng đệm của các vùng bảo vệ nghiêm ngặt; (2) Vùng đất ngập nước quan trọng; (3) Hanh lang bảo vệ nguồn nước mặt được dùng cho mục đích cấp nước sinh hoạt; (4) Khu dân cư tập trung của đô thị cấp IV, V; (5) Khu vui chơi giải trí dưới nước.  </w:t>
            </w:r>
          </w:p>
          <w:p w14:paraId="612EC01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Tuy nhiên, đến thời điểm kiểm toán (tháng 4/2025), Sở TN&amp;MT chưa tham mưu UBND tỉnh ban hành quyết định về xác định vị trí, ranh giới của vùng bảo vệ nghiêm ngặt, vùng hạn chế phát thải trên địa bàn tỉnh Phú Thọ. Vì vậy, đơn vị cũng chưa có cơ sở ban hành lộ trình thực hiện yêu cầu BVMT đối với cơ sở, khu sản xuất, kinh doanh, dịch vụ đang hoạt động trong vùng bảo vệ nghiêm ngặt và vùng hạn chế phát thải (nếu có) trên địa bàn quản lý theo quy định tại khoản 5 Điều 23 Nghị định 08/2022/NĐ-CP. Theo giải trình của Sở NN&amp;MT, nội dung xác định vị trí, ranh giới các vùng đòi hỏi phải được hướng dẫn về chuyên môn của Bộ NN&amp;MT, thực hiện công tác đo đạc bản đồ, cắm mốc vị trí từng khu vực, từng đối tượng, ...</w:t>
            </w:r>
          </w:p>
        </w:tc>
        <w:tc>
          <w:tcPr>
            <w:tcW w:w="3827" w:type="dxa"/>
          </w:tcPr>
          <w:p w14:paraId="612EC020"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Nghiên cứu, xây dựng và ban hành Quyết định về xác định vị trí, ranh giới của vùng bảo vệ nghiêm ngặt, vùng hạn chế phát thải trên địa bàn tỉnh Phú Thọ phù hợp với quy định pháp luật hiện hành.</w:t>
            </w:r>
          </w:p>
        </w:tc>
        <w:tc>
          <w:tcPr>
            <w:tcW w:w="2126" w:type="dxa"/>
          </w:tcPr>
          <w:p w14:paraId="612EC02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2E" w14:textId="77777777" w:rsidTr="00A40329">
        <w:trPr>
          <w:cantSplit/>
          <w:trHeight w:val="231"/>
        </w:trPr>
        <w:tc>
          <w:tcPr>
            <w:tcW w:w="559" w:type="dxa"/>
          </w:tcPr>
          <w:p w14:paraId="612EC02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2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2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2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2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Căn cứ khoản 4 Điều 64 Nghị định số 08/2022/NĐ-CP, UBND cấp tỉnh có trách nhiệm ban hành quy định quản lý chất thải nhựa; bảo đảm sau năm 2025, không lưu hành và sử dụng sản phẩm nhựa sử dụng một lần, bao bì nhựa khó phân hủy sinh học và sản phẩm, hàng hóa chứa vi nhựa. Theo báo cáo của Sở NN&amp;MT, đơn vị chưa tham mưu UBND tỉnh ban hành quy định quản lý chất thải nhựa.</w:t>
            </w:r>
          </w:p>
        </w:tc>
        <w:tc>
          <w:tcPr>
            <w:tcW w:w="3827" w:type="dxa"/>
          </w:tcPr>
          <w:p w14:paraId="612EC02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xây dựng và ban hành Quy định quản lý chất thải nhựa phù hợp với quy định pháp luật hiện hành.</w:t>
            </w:r>
          </w:p>
        </w:tc>
        <w:tc>
          <w:tcPr>
            <w:tcW w:w="2126" w:type="dxa"/>
          </w:tcPr>
          <w:p w14:paraId="612EC02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3C" w14:textId="77777777" w:rsidTr="00A40329">
        <w:trPr>
          <w:cantSplit/>
          <w:trHeight w:val="231"/>
        </w:trPr>
        <w:tc>
          <w:tcPr>
            <w:tcW w:w="559" w:type="dxa"/>
          </w:tcPr>
          <w:p w14:paraId="612EC02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3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3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3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612EC03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Sở TN&amp;MT đã tham mưu UBND tỉnh Phú Thọ, Ban Chỉ huy Phòng, chống thiên tai và tìm kiếm cứu nạn (nay là Ban Chỉ huy Phòng thủ dân sự) ban hành Kế hoạch Ứng phó sự cố chất thải trên địa bàn tỉnh Phú Thọ giai đoạn 2023-2030 tại Quyết định số 378/KH-UBND ngày 23/01/2025 (do Bộ Chỉ huy Quân sự tỉnh Phú Thọ xây dựng). </w:t>
            </w:r>
          </w:p>
          <w:p w14:paraId="612EC03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Qua kiểm toán cho thấy, Kế hoạch Ứng phó sự cố chất thải trên địa bàn tỉnh Phú Thọ giai đoạn 2023-2030 có một số tồn tại sau:</w:t>
            </w:r>
          </w:p>
          <w:p w14:paraId="612EC03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Kế hoạch Ứng phó sự cố chất thải trên địa bàn tỉnh Phú Thọ xây dựng, ban hành cho thời gian 08 năm (giai đoạn 2023-2030), chưa đúng quy định "theo chu kỳ 05 năm" tại khoản 2 Điều 109 Nghị định </w:t>
            </w:r>
            <w:r w:rsidRPr="00E24264">
              <w:rPr>
                <w:rFonts w:ascii="Times New Roman" w:eastAsia="Times New Roman" w:hAnsi="Times New Roman" w:cs="Times New Roman"/>
                <w:sz w:val="20"/>
                <w:szCs w:val="20"/>
              </w:rPr>
              <w:lastRenderedPageBreak/>
              <w:t xml:space="preserve">08/2022/NĐ-CP và điểm d khoản 3 Mục III Kế hoạch quốc gia ứng phó sự cố chất thải giai đoạn 2023-2030. </w:t>
            </w:r>
          </w:p>
          <w:p w14:paraId="612EC036" w14:textId="50A33CF4"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Kế hoạch Ứng phó sự cố chất thải trên địa bàn tỉnh Phú Thọ chưa đầy đủ các nội dung theo quy định tại khoản 3 Điều 108 Nghị định 08/2022/NĐ-CP, như: (1) Đánh giá nguy cơ xảy ra sự cố môi trường trên địa bàn; (2) Các kịch bản đối với từng loại nguy cơ có thể xảy ra sự cố môi trường; phương án ứng phó đối với các kịch bản sự cố môi trường; (3) Phương án bố trí trang thiết bị, vật tư, phương tiện bảo đảm cho hoạt động ứng phó sự cố môi trường theo các mức độ sự cố; (4) Phương án bố trí trang thiết bị, vật tư, phương tiện bảo đảm cho hoạt động ứng phó sự cố môi trường theo các mức độ sự cố; (5) Quy trình tiếp nhận, xử lý thông tin, phương thức thông báo, báo động về sự cố môi trường và cơ chế huy động nguồn nhân lực, trang thiết bị để ứng phó theo mức độ sự cố môi trường; (6) Biện pháp tổ chức ứng phó sự cố môi trường đối với các nội dung quy định tại khoản 3 Điều 125 Luật BVMT.</w:t>
            </w:r>
          </w:p>
          <w:p w14:paraId="612EC03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Kế hoạch Ứng phó sự cố chất thải trên địa bàn tỉnh Phú Thọ ban hành ngày 23/01/2025, chậm 06 tháng 23 ngày so với yêu cầu "trước ngày 30/6/2024" của Ủy ban quốc gia ứng phó sự cố thiên tai và tìm kiếm cứu nạn tại Văn bản số 197/CV-UB ngày 03/4/2023 về việc triển khai thực hiện Quyết định số 146/QĐ-TTg ngày 23/02/2023 của Thủ tướng Chính phủ ban hành Kế hoạch quốc gia ứng phó sự cố chất thải giai đoạn 2023-2030.</w:t>
            </w:r>
          </w:p>
        </w:tc>
        <w:tc>
          <w:tcPr>
            <w:tcW w:w="3827" w:type="dxa"/>
          </w:tcPr>
          <w:p w14:paraId="612EC038"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Phối hợp với Bộ Chỉ huy Quân sự tỉnh Phú Thọ xây dựng và tham mưu UBND tỉnh Phú Thọ sửa đổi, bổ sung Quyết định số 378/KH-UBND ngày 23/01/2025 của UBND tỉnh Phú Thọ ban hành Kế hoạch Ứng phó sự cố chất thải trên địa bàn tỉnh Phú Thọ giai đoạn 2023-2030 phù hợp với các quy định pháp luật hiện hành.</w:t>
            </w:r>
          </w:p>
        </w:tc>
        <w:tc>
          <w:tcPr>
            <w:tcW w:w="2126" w:type="dxa"/>
          </w:tcPr>
          <w:p w14:paraId="612EC03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Hoạt động quản lý môi trường tại các khu công nghiệp của tỉnh Phú Thọ giai đoạn 2022 - 2024</w:t>
            </w:r>
          </w:p>
        </w:tc>
      </w:tr>
      <w:tr w:rsidR="00A40329" w:rsidRPr="00E24264" w14:paraId="612EC046" w14:textId="77777777" w:rsidTr="00A40329">
        <w:trPr>
          <w:cantSplit/>
          <w:trHeight w:val="231"/>
        </w:trPr>
        <w:tc>
          <w:tcPr>
            <w:tcW w:w="559" w:type="dxa"/>
          </w:tcPr>
          <w:p w14:paraId="612EC03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3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Lai Châu</w:t>
            </w:r>
          </w:p>
        </w:tc>
        <w:tc>
          <w:tcPr>
            <w:tcW w:w="851" w:type="dxa"/>
          </w:tcPr>
          <w:p w14:paraId="612EC03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4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4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Đến thời điểm kiểm toán, các cơ quan quản lý nhà nước theo các lĩnh vực chưa tham mưu cho UBND tỉnh để ban hành tiêu chí, tiêu chuẩn chất lượng dịch vụ sự nghiệp công sử dụng ngân sách nhà nước; cơ chế giám sát, đánh giá, kiểm định chất lượng và quy chế kiểm tra, nghiệm thu dịch vụ sự nghiệp công sử dụng NSNN thuộc phạm vi quản lý của địa phương; hiệu quả hoạt động của đơn vị sự nghiệp công theo quy định tại khoản 3 Điều 37 Nghị định 60/2021/NĐ-CP</w:t>
            </w:r>
          </w:p>
        </w:tc>
        <w:tc>
          <w:tcPr>
            <w:tcW w:w="3827" w:type="dxa"/>
          </w:tcPr>
          <w:p w14:paraId="612EC042"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Lai Châu chỉ đạo các cơ quan, đơn vị có liên quan: Tham mưu cho UBND tỉnh ban hành tiêu chí, tiêu chuẩn chất lượng dịch vụ sự nghiệp công sử dụng ngân sách nhà nước; cơ chế giám sát, đánh giá, kiểm định chất lượng và quy chế kiểm tra, nghiệm thu dịch vụ sự nghiệp công sử dụng ngân sách nhà nước thuộc phạm vi quản lý của địa phương</w:t>
            </w:r>
          </w:p>
        </w:tc>
        <w:tc>
          <w:tcPr>
            <w:tcW w:w="2126" w:type="dxa"/>
          </w:tcPr>
          <w:p w14:paraId="612EC04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ngân sách địa phương năm 2024 tỉnh Lai Châu; Đề án ổn định dân cư phát triển kinh tế - xã hội vùng tái định cư thủy điện Sơn La (Đề án 666) tại tỉnh Lai Châu</w:t>
            </w:r>
          </w:p>
        </w:tc>
      </w:tr>
      <w:tr w:rsidR="00A40329" w:rsidRPr="00E24264" w14:paraId="612EC050" w14:textId="77777777" w:rsidTr="00A40329">
        <w:trPr>
          <w:cantSplit/>
          <w:trHeight w:val="231"/>
        </w:trPr>
        <w:tc>
          <w:tcPr>
            <w:tcW w:w="559" w:type="dxa"/>
          </w:tcPr>
          <w:p w14:paraId="612EC04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4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Hội đồng nhân dân tỉnh Lào Cai</w:t>
            </w:r>
          </w:p>
        </w:tc>
        <w:tc>
          <w:tcPr>
            <w:tcW w:w="851" w:type="dxa"/>
          </w:tcPr>
          <w:p w14:paraId="612EC04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Nghị quyết số 28/2021/NQ-HĐND ngày 08/12/2021 </w:t>
            </w:r>
            <w:r w:rsidRPr="00E24264">
              <w:rPr>
                <w:rFonts w:ascii="Times New Roman" w:eastAsia="Times New Roman" w:hAnsi="Times New Roman" w:cs="Times New Roman"/>
                <w:sz w:val="20"/>
                <w:szCs w:val="20"/>
              </w:rPr>
              <w:lastRenderedPageBreak/>
              <w:t>của HĐND tỉnh Lào Cai</w:t>
            </w:r>
          </w:p>
        </w:tc>
        <w:tc>
          <w:tcPr>
            <w:tcW w:w="851" w:type="dxa"/>
          </w:tcPr>
          <w:p w14:paraId="612EC04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Sửa đổi</w:t>
            </w:r>
          </w:p>
        </w:tc>
        <w:tc>
          <w:tcPr>
            <w:tcW w:w="5672" w:type="dxa"/>
          </w:tcPr>
          <w:p w14:paraId="612EC04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Trên cơ sở các văn bản của Trung ương , Sở Tài chính đã tham mưu cho UBND tỉnh trình HĐND tỉnh ban hành quy định về phân cấp nguồn thu, nhiệm vụ chi, tỷ lệ phần trăm (%) phân chia các khoản thu giữa các cấp ngân sách ở địa phương tại Nghị quyết số 28/2021/NQ-HĐND ngày 08/12/2021; tuy nhiên qua kiểm tra cho thấy khoản 6 Điều 5 và điểm 4.1 của Mục I khoản 1 Điều 10 Nghị quyết số 28/2021/NQ-HĐND quy định “Tiền sử dụng đất: Đất gắn với nhà và tài sản trên đất thu hồi của các cơ quan, đơn vị cấp tỉnh, cơ quan Trung ương“ là khoản thu ngân sách cấp tỉnh hưởng 100% </w:t>
            </w:r>
            <w:r w:rsidRPr="00E24264">
              <w:rPr>
                <w:rFonts w:ascii="Times New Roman" w:eastAsia="Times New Roman" w:hAnsi="Times New Roman" w:cs="Times New Roman"/>
                <w:sz w:val="20"/>
                <w:szCs w:val="20"/>
              </w:rPr>
              <w:lastRenderedPageBreak/>
              <w:t>là chưa phù hợp với quy định tại điểm k khoản 1 Điều 35 của Luật NSNN 2015 quy định “Thu từ bán tài sản nhà nước, kể cả thu tiền sử dụng đất gắn với tài sản trên đất do các cơ quan, tổ chức, đơn vị thuộc trung ương quản lý“ là khoản thu NSTW hưởng 100%. Qua báo cáo của Sở Tài chính và kiểm toán cho thấy giai đoạn 2022-2024 không phát sinh việc thu tiền sử dụng đất từ bán đấu giá quyền sử dụng đất của các cơ quan trung ương trên địa bàn</w:t>
            </w:r>
          </w:p>
        </w:tc>
        <w:tc>
          <w:tcPr>
            <w:tcW w:w="3827" w:type="dxa"/>
          </w:tcPr>
          <w:p w14:paraId="612EC04C"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Xem xét sửa đổi khoản 6 Điều 5 và điểm 4.1 của Mục I khoản 1 Điều 10 của Nghị quyết số 28/2021/NQ-HĐND ngày 08/12/2021 của HĐND tỉnh Lào Cai phù hợp với khoản 1 Điều 35 của Luật NSNN 2015</w:t>
            </w:r>
          </w:p>
        </w:tc>
        <w:tc>
          <w:tcPr>
            <w:tcW w:w="2126" w:type="dxa"/>
          </w:tcPr>
          <w:p w14:paraId="612EC04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Chương trình mục tiêu quốc gia nông thôn mới giai đoạn 2021-2025 tại tỉnh Lào Cai; việc điều tiết, quản lý và sử dụng nguồn thu sử dụng đất để đầu tư phát triển kinh tế xã hội giai đoạn 2022-2024 theo Nghị </w:t>
            </w:r>
            <w:r w:rsidRPr="00E24264">
              <w:rPr>
                <w:rFonts w:ascii="Times New Roman" w:eastAsia="Times New Roman" w:hAnsi="Times New Roman" w:cs="Times New Roman"/>
                <w:sz w:val="20"/>
                <w:szCs w:val="20"/>
              </w:rPr>
              <w:lastRenderedPageBreak/>
              <w:t>quyết của HĐND tỉnh Lào Cai</w:t>
            </w:r>
          </w:p>
        </w:tc>
      </w:tr>
      <w:tr w:rsidR="00A40329" w:rsidRPr="00E24264" w14:paraId="612EC05A" w14:textId="77777777" w:rsidTr="00A40329">
        <w:trPr>
          <w:cantSplit/>
          <w:trHeight w:val="231"/>
        </w:trPr>
        <w:tc>
          <w:tcPr>
            <w:tcW w:w="559" w:type="dxa"/>
          </w:tcPr>
          <w:p w14:paraId="612EC051"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5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Lào Cai</w:t>
            </w:r>
          </w:p>
        </w:tc>
        <w:tc>
          <w:tcPr>
            <w:tcW w:w="851" w:type="dxa"/>
          </w:tcPr>
          <w:p w14:paraId="612EC053"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5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5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Đến thời điểm kiểm toán tỉnh Lào Cai chưa ban hành văn bản quy định mức vốn đối ứng từ NSĐP thực hiện chương trình MTQG xây dựng NTM theo quy định điểm a khoản 1 Điều 40 Nghị định số 27/2022/NĐ-CP và khoản 22 Điều 1 Nghị định số 38/2023/NĐ-CP ngày 24/6/2023 của Chính phủ.</w:t>
            </w:r>
          </w:p>
        </w:tc>
        <w:tc>
          <w:tcPr>
            <w:tcW w:w="3827" w:type="dxa"/>
          </w:tcPr>
          <w:p w14:paraId="612EC056"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Chỉ đạo các đơn vị liên quan chấn chỉnh, rút kinh nghiệm và có giải pháp khắc phục các tồn tại, hạn chế: việc chưa xây dựng, trình HĐND tỉnh ban hành văn bản quy định mức vốn đối ứng từ NSĐP thực hiện chương trình MTQG xây dựng NTM theo quy định điểm a khoản 1 Điều 40 Nghị định số 27/2022/NĐ-CP và khoản 22 Điều 1 Nghị định số 38/2023/NĐ-CP ngày 24/6/2023 của Chính phủ.</w:t>
            </w:r>
          </w:p>
        </w:tc>
        <w:tc>
          <w:tcPr>
            <w:tcW w:w="2126" w:type="dxa"/>
          </w:tcPr>
          <w:p w14:paraId="612EC05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Chương trình mục tiêu quốc gia nông thôn mới giai đoạn 2021-2025 tại tỉnh Lào Cai; việc điều tiết, quản lý và sử dụng nguồn thu sử dụng đất để đầu tư phát triển kinh tế xã hội giai đoạn 2022-2024 theo Nghị quyết của HĐND tỉnh Lào Cai</w:t>
            </w:r>
          </w:p>
        </w:tc>
      </w:tr>
      <w:tr w:rsidR="00A40329" w:rsidRPr="00E24264" w14:paraId="612EC064" w14:textId="77777777" w:rsidTr="00A40329">
        <w:trPr>
          <w:cantSplit/>
          <w:trHeight w:val="231"/>
        </w:trPr>
        <w:tc>
          <w:tcPr>
            <w:tcW w:w="559" w:type="dxa"/>
          </w:tcPr>
          <w:p w14:paraId="612EC05B"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5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Điện Biên</w:t>
            </w:r>
          </w:p>
        </w:tc>
        <w:tc>
          <w:tcPr>
            <w:tcW w:w="851" w:type="dxa"/>
          </w:tcPr>
          <w:p w14:paraId="612EC05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5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5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Quy chế sử dụng phần mềm chưa được Sở LĐTB&amp;XH chủ trì (nay thuộc chức năng, nhiệm vụ của Sở Nội vụ, Sở Nông nghiệp và Môi trường, Sở Y tế) phối hợp với Sở TTTT (nay là Sở KH&amp;CN) và các cơ quan liên quan tham mưu UBND tỉnh ban hành</w:t>
            </w:r>
          </w:p>
        </w:tc>
        <w:tc>
          <w:tcPr>
            <w:tcW w:w="3827" w:type="dxa"/>
          </w:tcPr>
          <w:p w14:paraId="612EC060"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chỉ đạo Sở Nội vụ, Sở Nông nghiệp và Môi trường, Sở Y tế: Phối hợp với Sở Khoa học và Công nghệ tham mưu UBND tỉnh ban hành Quy chế sử dụng phần mềm “Cơ sở dữ liệu dùng chung ngành Lao động, Thương binh và Xã hội tỉnh Điện Biên” theo các nhiệm vụ được bàn giao, tiếp nhận chức năng quản lý; thực hiện cập nhật đầy đủ thông tin lên Phần mềm.</w:t>
            </w:r>
          </w:p>
        </w:tc>
        <w:tc>
          <w:tcPr>
            <w:tcW w:w="2126" w:type="dxa"/>
          </w:tcPr>
          <w:p w14:paraId="612EC06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Đề án ổn định dân cư phát triển kinh tế - xã hội vùng tái định cư thuỷ điện Sơn La (Đề án 666) tại tỉnh Điện Biên; Việc đầu tư, ứng dụng phần mềm công nghệ thông tin, các hoạt động thuê dịch vụ công nghệ thông tin phục vụ chuyển đổi số tại tỉnh Điện Biên giai đoạn 2021-2024</w:t>
            </w:r>
          </w:p>
        </w:tc>
      </w:tr>
      <w:tr w:rsidR="00A40329" w:rsidRPr="00E24264" w14:paraId="612EC06E" w14:textId="77777777" w:rsidTr="00A40329">
        <w:trPr>
          <w:cantSplit/>
          <w:trHeight w:val="231"/>
        </w:trPr>
        <w:tc>
          <w:tcPr>
            <w:tcW w:w="559" w:type="dxa"/>
          </w:tcPr>
          <w:p w14:paraId="612EC06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6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Điện Biên</w:t>
            </w:r>
          </w:p>
        </w:tc>
        <w:tc>
          <w:tcPr>
            <w:tcW w:w="851" w:type="dxa"/>
          </w:tcPr>
          <w:p w14:paraId="612EC06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6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06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Tỉnh chưa ban hành “Chính sách thuê chuyên gia chuyển đổi số” để đáp ứng Chỉ số chuyển đổi số cấp tỉnh ban hành theo Quyết định số 922/QĐ- BTTTT ngày 20/5/2022 của Bộ Thông tin và Truyền thông về phê duyệt Đề án “Xác định Bộ chỉ số đánh giá chuyển đổi số của các bộ, cơ quan ngang bộ, cơ quan thuộc Chính phủ, các tỉnh, thành phố trực thuộc Trung ương và của quốc gia” và giải pháp “Thu hút, tuyển dụng, bồi dưỡng nhân lực chuyển đổi số cho các cơ quan nhà nước hoặc thuê chuyên gia tư vấn, thực hiện các nhiệm vụ chuyển đổi số trong cơ quan nhà nước theo quy định của pháp luật” tại Quyết định số 1690/QĐ-TTg ngày 26/12/2023 của Thủ tướng Chính phủ </w:t>
            </w:r>
            <w:r w:rsidRPr="00E24264">
              <w:rPr>
                <w:rFonts w:ascii="Times New Roman" w:eastAsia="Times New Roman" w:hAnsi="Times New Roman" w:cs="Times New Roman"/>
                <w:sz w:val="20"/>
                <w:szCs w:val="20"/>
              </w:rPr>
              <w:lastRenderedPageBreak/>
              <w:t>phê duyệt Đề án “Kiện toàn tổ chức bộ máy, nâng cao năng lực quản lý và thực thi pháp luật về chuyển đổi số từ trung ương đến địa phương đến năm 2025, định hướng đến năm 2030”</w:t>
            </w:r>
          </w:p>
        </w:tc>
        <w:tc>
          <w:tcPr>
            <w:tcW w:w="3827" w:type="dxa"/>
          </w:tcPr>
          <w:p w14:paraId="612EC06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Phối hợp với các sở ngành liên quan nghiên cứu tham mưu UBND tỉnh xem xét ban hành cơ chế, chính sách về thuê chuyên gia chuyển đổi số</w:t>
            </w:r>
          </w:p>
        </w:tc>
        <w:tc>
          <w:tcPr>
            <w:tcW w:w="2126" w:type="dxa"/>
          </w:tcPr>
          <w:p w14:paraId="612EC06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Đề án ổn định dân cư phát triển kinh tế - xã hội vùng tái định cư thuỷ điện Sơn La (Đề án 666) tại tỉnh Điện Biên; Việc đầu tư, ứng dụng phần mềm công nghệ thông tin, các hoạt động thuê dịch vụ công nghệ thông tin phục vụ </w:t>
            </w:r>
            <w:r w:rsidRPr="00E24264">
              <w:rPr>
                <w:rFonts w:ascii="Times New Roman" w:eastAsia="Times New Roman" w:hAnsi="Times New Roman" w:cs="Times New Roman"/>
                <w:sz w:val="20"/>
                <w:szCs w:val="20"/>
              </w:rPr>
              <w:lastRenderedPageBreak/>
              <w:t>chuyển đổi số tại tỉnh Điện Biên giai đoạn 2021-2024</w:t>
            </w:r>
          </w:p>
        </w:tc>
      </w:tr>
      <w:tr w:rsidR="00A40329" w:rsidRPr="00E24264" w14:paraId="612EC078" w14:textId="77777777" w:rsidTr="00A40329">
        <w:trPr>
          <w:cantSplit/>
          <w:trHeight w:val="231"/>
        </w:trPr>
        <w:tc>
          <w:tcPr>
            <w:tcW w:w="559" w:type="dxa"/>
          </w:tcPr>
          <w:p w14:paraId="612EC06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7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Ủy ban nhân dân thành phố Cần Thơ (liên quan đến kết quả kiểm toán NSĐP năm 2024 của tỉnh Sóc Trăng)</w:t>
            </w:r>
          </w:p>
        </w:tc>
        <w:tc>
          <w:tcPr>
            <w:tcW w:w="851" w:type="dxa"/>
          </w:tcPr>
          <w:p w14:paraId="612EC07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7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w:t>
            </w:r>
          </w:p>
        </w:tc>
        <w:tc>
          <w:tcPr>
            <w:tcW w:w="5672" w:type="dxa"/>
          </w:tcPr>
          <w:p w14:paraId="612EC07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Giá lúa thu thuế sử dụng đất nông nghiệp (SDĐNN) theo Quyết định 13/2021/QĐ-UBND ngày 10/6/2021 của UBND tỉnh Sóc Trăng là 5.000 đồng/kg thấp hơn từ 28,6% đến 45% so với giá thị trường năm 2024 (theo bảng giá được công bố trên trang web của Sở Nông nghiệp &amp; PTNT tỉnh Sóc Trăng) nhưng chưa được Sở Tài chính tham mưu cho UBND tỉnh ban hành quyết định điều chỉnh là chưa phù hợp với Điều 17 Luật Thuế sử dụng đất nông nghiệp năm 1993.</w:t>
            </w:r>
          </w:p>
        </w:tc>
        <w:tc>
          <w:tcPr>
            <w:tcW w:w="3827" w:type="dxa"/>
          </w:tcPr>
          <w:p w14:paraId="612EC074"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quyết định điều chỉnh Quyết định số 13/2021/QĐ-UBND ngày 10/6/2021 của UBND tỉnh Sóc Trăng để xác định giá lúa thu thuế sử dụng đất nông nghiệp cho phù hợp với quy định tại Điều 17 Luật Thuế sử dụng đất nông nghiệp năm 1993.</w:t>
            </w:r>
          </w:p>
        </w:tc>
        <w:tc>
          <w:tcPr>
            <w:tcW w:w="2126" w:type="dxa"/>
          </w:tcPr>
          <w:p w14:paraId="612EC07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Ngân sách địa phương năm 2024 của tỉnh Sóc Trăng</w:t>
            </w:r>
          </w:p>
        </w:tc>
      </w:tr>
      <w:tr w:rsidR="00A40329" w:rsidRPr="00E24264" w14:paraId="612EC082" w14:textId="77777777" w:rsidTr="00A40329">
        <w:trPr>
          <w:cantSplit/>
          <w:trHeight w:val="231"/>
        </w:trPr>
        <w:tc>
          <w:tcPr>
            <w:tcW w:w="559" w:type="dxa"/>
          </w:tcPr>
          <w:p w14:paraId="612EC07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7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C07B"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7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7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Về đại lý vé số: Các đại lý xổ số tại Công ty ổn định qua nhiều năm, hàng năm Công ty tái ký hợp đồng với đại lý cũ, số lượng đại lý mới phát sinh hàng năm thấp. Do không có quy định về tiêu chí đánh giá chất lượng đại lý để làm cơ sở các công ty XSKT xem xét tái ký hợp đồng đại lý hàng năm và chưa thực hiện đấu thầu đại lý theo quy định tại Điều 16 Thông tư 75/2013/TT-BTC là chưa đảm bảo lựa chọn được các đại lý tốt nhất trên địa bàn đáp ứng được các yêu cầu theo quy định</w:t>
            </w:r>
          </w:p>
        </w:tc>
        <w:tc>
          <w:tcPr>
            <w:tcW w:w="3827" w:type="dxa"/>
          </w:tcPr>
          <w:p w14:paraId="612EC07E"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Xem xét ban hành quy định về tiêu chí đánh giá chất lượng đại lý làm cơ sở xem xét tái ký hợp đồng đại lý hàng năm để đảm bảo lựa chọn được các đại lý tốt nhất trên địa bàn theo quy định tại Điều 16 Thông tư 75/2013/TT-BTC</w:t>
            </w:r>
          </w:p>
        </w:tc>
        <w:tc>
          <w:tcPr>
            <w:tcW w:w="2126" w:type="dxa"/>
          </w:tcPr>
          <w:p w14:paraId="612EC07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quản lý, sử dụng nguồn thu Xổ số kiến thiết giai đoạn 2022-2024 tại tỉnh Bạc Liêu và Kiên Giang</w:t>
            </w:r>
          </w:p>
        </w:tc>
      </w:tr>
      <w:tr w:rsidR="00A40329" w:rsidRPr="00E24264" w14:paraId="612EC096" w14:textId="77777777" w:rsidTr="00A40329">
        <w:trPr>
          <w:cantSplit/>
          <w:trHeight w:val="231"/>
        </w:trPr>
        <w:tc>
          <w:tcPr>
            <w:tcW w:w="559" w:type="dxa"/>
          </w:tcPr>
          <w:p w14:paraId="612EC08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8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An Giang</w:t>
            </w:r>
          </w:p>
        </w:tc>
        <w:tc>
          <w:tcPr>
            <w:tcW w:w="851" w:type="dxa"/>
          </w:tcPr>
          <w:p w14:paraId="612EC085"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8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8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1. Nội dung quy định về giá dịch vụ khám bệnh, chữa bệnh không thuộc phạm vi thanh toán của Quỹ BHYT trong các cơ sở khám bệnh, chữa bệnh tại Nghị quyết số 286/2020/NQ-HĐND ngày 02/2/2020 của HĐND tỉnh Kiên Giang đã được HĐND tỉnh ban hành tại Nghị quyết số 87/NQ-HĐND ngày 31/12/2024 (hiệu lực ngày 01/01/2025), tuy nhiên HĐND tỉnh chưa ban hành văn bản bãi bỏ Nghị quyết số 286/2020/NQ-HĐND.</w:t>
            </w:r>
          </w:p>
          <w:p w14:paraId="612EC08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2. Nghị quyết số 87/NQ-HĐND ngày 31/12/2024 của Hội đồng nhân dân tỉnh Kiên Giang  được ban hành căn cứ theo Thông tư số 21/2024/TT-BYT ngày 17/10/2024 của Bộ Y tế quy định phương pháp định giá dịch vụ khám bệnh, chữa bệnh. Tuy nhiên, giá ban hành tại Nghị quyết số 87/NQ-HĐND chưa tính đầy đủ các yếu tố chi phí (mới chỉ tính chi phí trực tiếp và tiền lương, chưa tính chi phí quản lý và khấu hao) theo hướng dẫn tại Phụ lục số II thông tư số 21/2024/TT-BYT và lộ trình giá dịch vụ sự nghiệp công sử dụng </w:t>
            </w:r>
            <w:r w:rsidRPr="00E24264">
              <w:rPr>
                <w:rFonts w:ascii="Times New Roman" w:eastAsia="Times New Roman" w:hAnsi="Times New Roman" w:cs="Times New Roman"/>
                <w:sz w:val="20"/>
                <w:szCs w:val="20"/>
              </w:rPr>
              <w:lastRenderedPageBreak/>
              <w:t>ngân sách nhà nước theo quy định tại khoản 3 Điều 5 Nghị định số 60/2021/NĐ-CP.</w:t>
            </w:r>
          </w:p>
          <w:p w14:paraId="612EC08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3. Sở Y tế chưa tham mưu UBND tỉnh trong công tác: (i) Ban hành định giá cụ thể đối với “Dịch vụ kiểm dịch y tế, y tế dự phòng tại cơ sở y tế công lập” và “Dịch vụ điều trị nghiện chất dạng thuốc phiện tại các đơn vị sự nghiệp công lập” quy định tại số thứ tự 19 Phụ lục số 02 Danh mục hàng hóa, dịch vụ do nhà nước định giá ban hành theo Luật Giá 16/2023/QH15; (ii) Ban hành quy định về quy chế kiểm tra, nghiệm thu dịch vụ sự nghiệp công sử dụng NSNN thuộc phạm vi quản lý của địa phương theo quy định tại khoản 3 Điều 37 Nghị định 60/2021/NĐ-CP.</w:t>
            </w:r>
          </w:p>
          <w:p w14:paraId="612EC08A"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4. UBND tỉnh chưa ban hành các văn bản quy định đối với các định mức kinh tế - kỹ thuật trong lĩnh vực Y tế - Dân số và các tiêu chí, tiêu chuẩn chất lượng dịch vụ sự nghiệp công sử dụng ngân sách nhà nước; cơ chế giám sát, đánh giá, kiểm định chất lượng và quy chế kiểm tra, nghiệm thu dịch vụ sự nghiệp công sử dụng ngân sách nhà nước thuộc phạm vi quản lý của địa phương; hiệu quả hoạt động của đơn vị sự nghiệp công theo quy định tại Điều 37 Nghị định 60/2021/NĐ-CP của Chính phủ.</w:t>
            </w:r>
          </w:p>
          <w:p w14:paraId="612EC08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5. Bệnh viện Y dược cổ truyền tỉnh Kiên Giang (nay là Bệnh viện Y dược cổ truyền Kiên Giang): </w:t>
            </w:r>
          </w:p>
          <w:p w14:paraId="612EC08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chế thực hiện chế độ tiền thưởng: Đối tượng áp dụng không phù hợp với khoản 4 Điều 4 Nghị định 98/2023/NĐ-CP ngày 31/12/2023 của Chính phủ quy định chi tiết thi hành một số điều của Luật thi đua, khen thưởng; chưa xây dựng tiêu chí thưởng thành tích công tác đột xuất theo quy định tại khoản 3 Điều 4 Nghị định số 73/2024/NĐ-CP ngày 30/6/2024; chưa quy định cụ thể quyền và nghĩa vụ của từng bộ phận, cá nhân có liên quan đến việc sử dụng tài sản công vào mục đích kinh doanh, cho thuê, liên doanh, liên kết;</w:t>
            </w:r>
          </w:p>
          <w:p w14:paraId="612EC08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chế quản lý sử dụng tài sản công: Chưa quy định trách nhiệm bàn giao tài sản công khi thay đổi tổ chức bộ máy, thay đổi người đứng đầu; chưa quy định xử lý đối với các tổ chức, cá nhân vi phạm Quy chế theo quy định tại khoản 3 Điều 7 Thông tư số 144/2017/TT-BTC của Bộ Tài chính.</w:t>
            </w:r>
          </w:p>
          <w:p w14:paraId="612EC08E"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6. Bệnh viện Sản - Nhi tỉnh Kiên Giang (nay là Bệnh viện Sản - Nhi Kiên Giang): </w:t>
            </w:r>
          </w:p>
          <w:p w14:paraId="612EC08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Quy chế thực hiện chế độ tiền thưởng: Nguyên tắc xét thưởng của “Chưa xét thưởng đột xuất đối với cá nhân trong thời gian cơ quan có thẩm quyền đang xem xét thi hành kỷ luật hoặc điều tra, thanh tra, kiểm tra khi có dấu hiệu vi phạm hoặc có đơn thư khiếu nại, tố cáo, có vấn đề tham nhũng, tiêu cực được báo chí nêu đang được xác </w:t>
            </w:r>
            <w:r w:rsidRPr="00E24264">
              <w:rPr>
                <w:rFonts w:ascii="Times New Roman" w:eastAsia="Times New Roman" w:hAnsi="Times New Roman" w:cs="Times New Roman"/>
                <w:sz w:val="20"/>
                <w:szCs w:val="20"/>
              </w:rPr>
              <w:lastRenderedPageBreak/>
              <w:t>minh làm rõ” là không phù hợp với khoản 4 Điều 4 Nghị định 98/2023/NĐ-CP ngày 31/12/2023 của Chính phủ quy định chi tiết thi hành một số điều của Luật thi đua, khen thưởng;</w:t>
            </w:r>
          </w:p>
          <w:p w14:paraId="612EC09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chế quản lý sử dụng tài sản công: Chưa quy định cụ thể quyền và nghĩa vụ của từng bộ phận, cá nhân có liên quan đến việc sử dụng tài sản công vào mục đích kinh doanh, cho thuê, liên doanh, liên kết; chưa quy định trách nhiệm bàn giao tài sản công khi thay đổi tổ chức bộ máy, thay đổi người đứng đầu; chưa quy định xử lý đối với các tổ chức, cá nhân vi phạm Quy chế theo quy định tại khoản 3 Điều 7 Thông tư số 144/2017/TT-BTC của Bộ Tài chính;</w:t>
            </w:r>
          </w:p>
          <w:p w14:paraId="612EC09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chế chi tiêu nội bộ: (i) chưa quy định về việc lựa chọn ngân hàng thương mại để gửi tiền trích lập các Quỹ hoặc các khoản thu từ hoạt động sự nghiệp, kinh doanh, dịch vụ theo quy định tại Phụ lục số 5 nội dung mẫu quy chế chi tiêu nội bộ của đơn vị sự nghiệp công lập, ban hành kèm theo Thông tư số 56/2022/TT-BTC ngày 16/9/2021 của Bộ Tài chính; (ii) Tại khoản 15.2 Điều 15 Quy chế chi tiêu nội bộ bệnh viện Sản - Nhi quy định “Quỹ khen thưởng trích không quá 03 tháng tiền lương, tiền công và thu nhập tăng thêm bình quân thực tế cả năm” là không phù hợp theo quy định tại điểm a khoản 1 Điều 10 Thông tư số 56/2022/TT-BTC ngày 16/9/2022 của Bộ Tài chính.</w:t>
            </w:r>
          </w:p>
        </w:tc>
        <w:tc>
          <w:tcPr>
            <w:tcW w:w="3827" w:type="dxa"/>
          </w:tcPr>
          <w:p w14:paraId="612EC092"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Đề nghị UBND tỉnh lưu ý những vấn đề tồn tại, bất cập về cơ chế chính sách tại Báo cáo kiểm toán để chỉ đạo trong việc điều hành quản lý ngân sách cũng như trình cấp có thẩm quyền ban hành các văn bản đảm bảo theo quy định của pháp luật.</w:t>
            </w:r>
          </w:p>
        </w:tc>
        <w:tc>
          <w:tcPr>
            <w:tcW w:w="2126" w:type="dxa"/>
          </w:tcPr>
          <w:p w14:paraId="612EC09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quản lý, sử dụng kinh phí hoạt động năm 2024 của các cơ sở y tế công lập tại tỉnh Kiên Giang (nay là tỉnh An Giang)</w:t>
            </w:r>
          </w:p>
        </w:tc>
      </w:tr>
      <w:tr w:rsidR="00A40329" w:rsidRPr="00E24264" w14:paraId="612EC0A2" w14:textId="77777777" w:rsidTr="00A40329">
        <w:trPr>
          <w:cantSplit/>
          <w:trHeight w:val="231"/>
        </w:trPr>
        <w:tc>
          <w:tcPr>
            <w:tcW w:w="559" w:type="dxa"/>
          </w:tcPr>
          <w:p w14:paraId="612EC09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9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Lào Cai (nội dung kiểm toán tỉnh Yên Bái trước khi sáp nhập)</w:t>
            </w:r>
          </w:p>
        </w:tc>
        <w:tc>
          <w:tcPr>
            <w:tcW w:w="851" w:type="dxa"/>
          </w:tcPr>
          <w:p w14:paraId="612EC09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9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9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Lập, thẩm định, phê duyệt điều chỉnh dự án (Cầu Tô Mậu huyện Lục Yên; Nút giao IC13 cao tốc Nội Bài - Lào Cai) trong năm 2025 căn cứ Quyết định số 10/2021/QĐ-UBND ngày 22/6/2021 và Quyết định số 22/2023/QĐ-UBND ngày 06/9/2023, trong khi các quyết định này viện dẫn Nghị định số 15/2021/NĐ-CP ngày 03/03/2021 đã hết hiệu lực kể từ ngày 30/12/2024, được thay thế bởi Nghị định số 175/2024/NĐ-CP ngày 20/12/2024.</w:t>
            </w:r>
          </w:p>
          <w:p w14:paraId="612EC09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Phương án được duyệt còn bồi thường, hỗ trợ các nội dung chưa có trong danh mục và mức hỗ trợ ban hành kèm theo các quyết định quy định về việc bồi thường khi nhà nước thu hồi đất trên địa bàn tỉnh Yên Bái, phê duyệt phương án bổ sung chênh lệch giá trị bồi thường đất ở so với phương án bồi thường, hỗ trợ, tái định cư đã được phê duyệt tại thời điểm quyết định thu hồi đất.</w:t>
            </w:r>
          </w:p>
          <w:p w14:paraId="612EC09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Bố trí 1.805,87trđ từ nguồn thu tiền sử dụng đất (là khoản thu của NSNN) cấp hỗ trợ kinh phí để Quỹ phát triển đất trả phí ủy thác đối với Quỹ bảo lãnh tín dụng là chưa phù hợp quy định tại khoản 11  Điều 8 Luật NSNN 2015.</w:t>
            </w:r>
          </w:p>
        </w:tc>
        <w:tc>
          <w:tcPr>
            <w:tcW w:w="3827" w:type="dxa"/>
          </w:tcPr>
          <w:p w14:paraId="612EC09E"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văn bản mới để quản lý trên địa bàn tỉnh Lào Cai (mới): (i) Căn cứ Nghị định số 175/2024/NĐ-CP ngày 20/12/2024 của Chính phủ quy định chi tiết một số điều và biện pháp thi hành Luật Xây dựng về quản lý hoạt động xây dựng để ban hành Quy định một số nội dung về Quản lý đầu tư và xây dựng trên địa bàn tỉnh Lào Cai. (ii) Căn cứ khoản 6 Điều 103 Luật Đất đai 2024 để ban hành đơn giá bồi thường thiệt hại về cây trồng, vật nuôi theo quy trình sản xuất do Bộ Nông nghiệp và Môi trường hoặc do địa phương ban hành theo quy định của pháp luật. (iii) Căn cứ Nghị định 104/2024/NĐ-CP ngày 31/7/2024 để ban hành quy chế hoạt động của Quỹ phát triển đất.</w:t>
            </w:r>
          </w:p>
        </w:tc>
        <w:tc>
          <w:tcPr>
            <w:tcW w:w="2126" w:type="dxa"/>
          </w:tcPr>
          <w:p w14:paraId="612EC09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Báo cáo quyết toán ngân sách địa phương năm 2024 tại tỉnh Yên Bái; Việc điều tiết, quản lý và sử dụng nguồn thu tiền sử dụng đất để đầu tư phát triển kinh tế xã hội giai đoạn 2022-2024 theo Nghị quyết của Hội đồng nhân dân tỉnh Yên Bái; Việc thực hiện các chính sách ưu đãi đầu tư tại Khu công nghiệp giai đoạn 2022-2024 tại tỉnh Yên Bái</w:t>
            </w:r>
          </w:p>
        </w:tc>
      </w:tr>
      <w:tr w:rsidR="00A40329" w:rsidRPr="00E24264" w14:paraId="612EC0AE" w14:textId="77777777" w:rsidTr="00A40329">
        <w:trPr>
          <w:cantSplit/>
          <w:trHeight w:val="231"/>
        </w:trPr>
        <w:tc>
          <w:tcPr>
            <w:tcW w:w="559" w:type="dxa"/>
          </w:tcPr>
          <w:p w14:paraId="612EC0A3"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A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HĐND tỉnh Lào Cai</w:t>
            </w:r>
          </w:p>
        </w:tc>
        <w:tc>
          <w:tcPr>
            <w:tcW w:w="851" w:type="dxa"/>
          </w:tcPr>
          <w:p w14:paraId="612EC0A5"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A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A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bookmarkStart w:id="15" w:name="_hooex1fma69m" w:colFirst="0" w:colLast="0"/>
            <w:bookmarkEnd w:id="15"/>
            <w:r w:rsidRPr="00E24264">
              <w:rPr>
                <w:rFonts w:ascii="Times New Roman" w:eastAsia="Times New Roman" w:hAnsi="Times New Roman" w:cs="Times New Roman"/>
                <w:sz w:val="20"/>
                <w:szCs w:val="20"/>
              </w:rPr>
              <w:t xml:space="preserve">-  Về ban hành quy định về thu, quản lý, sử dụng phí, lệ phí, giá: Ngày 05/7/2024, HĐND tỉnh Lào Cai ban hành Nghị quyết số 05/2024/NQ-HĐND (có hiệu lực từ ngày 01/01/2025) sửa đổi, bổ </w:t>
            </w:r>
            <w:r w:rsidRPr="00E24264">
              <w:rPr>
                <w:rFonts w:ascii="Times New Roman" w:eastAsia="Times New Roman" w:hAnsi="Times New Roman" w:cs="Times New Roman"/>
                <w:sz w:val="20"/>
                <w:szCs w:val="20"/>
              </w:rPr>
              <w:lastRenderedPageBreak/>
              <w:t xml:space="preserve">sung một số điều của Quy định về các loại phí, lệ phí thuộc thẩm quyền quyết định của HĐND tỉnh ban hành kèm theo Nghị quyết số 06/2020/NQ-HĐND ngày 10/7/2020, theo đó bổ sung thêm mức phí tham quan danh lam thắng cảnh trên địa bàn thị xã Sa Pa đối với 02 điểm tham quan; song đến ngày 21/01/2025, đã ban hành Nghị quyết 04/2025/NQ-HĐND ngày 21/1/2025 sửa đổi thời gian hiệu lực của Nghị quyết số 05/2024/NQ-HĐND từ ngày 01/01/2026. Nguyên nhân theo báo cáo là do nếu áp dụng thu phí ngay từ ngày 01/01/2025 sẽ ảnh hưởng đến tâm lý tiêu cực của khách du lịch, hoạt động lữ hành trọn gói nên cần có thời gian truyền thông, tạo điều kiện cho UBND thị xã Sa Pa và các đơn vị phối hợp tổ chức thu phí, đồng thời chia sẻ khó khăn với các doanh nghiệp do tác động bởi Cơn bão số 3 (Yagi)... Tuy nhiên việc sửa đổi như trên phần nào cho thấy quá trình ban hành chính sách còn chưa được nghiên cứu kỹ nhằm đảm bảo đầy đủ điều kiện thu theo quy định tại điểm a khoản 1 Điều 8 Thông tư số 85/2019/TT-BTC của Bộ Tài chính </w:t>
            </w:r>
            <w:r w:rsidRPr="00E24264">
              <w:rPr>
                <w:rFonts w:ascii="Times New Roman" w:eastAsia="Times New Roman" w:hAnsi="Times New Roman" w:cs="Times New Roman"/>
                <w:i/>
                <w:iCs/>
                <w:sz w:val="20"/>
                <w:szCs w:val="20"/>
              </w:rPr>
              <w:t>“các khoản phí, lệ phí có tên trong Danh mục kèm theo Luật phí và lệ phí thuộc thẩm quyền của Hội đồng nhân dân cấp tỉnh, khi ban hành cần đảm bảo: a) cần nghiên cứu kỹ thực tế để ban hành văn bản thu phí, lệ phí cho phù hợp; không ban hành văn bản đối với khoản phí, lệ phí có tên trong Danh mục phí và lệ phí nhưng chưa thấy cần thiết và chưa đủ điều kiện thu”.</w:t>
            </w:r>
          </w:p>
          <w:p w14:paraId="612EC0A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Năm 2024, căn cứ Luật lực lượng an ninh trật tự ở cơ sở số 30/2023/QH15, HĐND tỉnh đã ban hành Nghị quyết số 04/2024/NQ-HĐND ngày 30/5/2024 về việc thành lập và chính sách hỗ trợ đối với tổ bảo vệ an ninh, trật tự trên địa bàn tỉnh Lào Cai, Tuy nhiên Nghị quyết chưa quy định mức hỗ trợ, bồi dưỡng cho người tham gia lực lượng tham gia bảo vệ an ninh, trật tự ở cơ sở “Khi làm nhiệm vụ tại những nơi thuộc khu vực biên giới, hải đảo, miền núi, vùng có điều kiện kinh tế - xã hội đặc biệt khó khăn, vùng đồng bào dân tộc thiểu số hoặc tại đơn vị hành chính cấp xã trọng điểm về quốc phòng” theo quy định tại điểm c, khoản 2 Điều 23 Luật số 30/2023/QH15</w:t>
            </w:r>
          </w:p>
          <w:p w14:paraId="612EC0A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Quy định về nhiệm vụ chi của ngân sách cấp tỉnh tại Nghị quyết số 07/2024/NQ-HĐND còn thiếu các hoạt động bảo vệ môi trường khác do Thủ tướng Chính phủ quyết định theo quy định tại điểm m, khoản 9 Điều 152 của Nghị định 08/2022/NĐ-CP quy định chi tiết một số điều của Luật bảo vệ môi trường; chưa quy định mức chi lập nhiệm vụ, dự án theo Phụ lục 01 của Thông tư số 02/2017/TT-BTC của Bộ Tài chính.</w:t>
            </w:r>
          </w:p>
        </w:tc>
        <w:tc>
          <w:tcPr>
            <w:tcW w:w="3827" w:type="dxa"/>
          </w:tcPr>
          <w:p w14:paraId="612EC0A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Trong quá trình hoàn thiện các văn bản quy phạm pháp luật của địa phương (sau sáp nhập) lưu ý nghiên cứu kỹ sự cần thiết và điều </w:t>
            </w:r>
            <w:r w:rsidRPr="00E24264">
              <w:rPr>
                <w:rFonts w:ascii="Times New Roman" w:eastAsia="Times New Roman" w:hAnsi="Times New Roman" w:cs="Times New Roman"/>
                <w:sz w:val="20"/>
                <w:szCs w:val="20"/>
              </w:rPr>
              <w:lastRenderedPageBreak/>
              <w:t>kiện thu khi ban hành các khoản phí, lệ phí thuộc thẩm quyền; xem xét sửa đổi các bất cập tại Nghị quyết số 04/2024/NQ-HĐND ngày 30/5/2024 và Nghị quyết số 07/2024/NQ-HĐND ngày 5/7/2024 của HĐND tỉnh Lào Cai (trước sáp nhập).</w:t>
            </w:r>
          </w:p>
        </w:tc>
        <w:tc>
          <w:tcPr>
            <w:tcW w:w="2126" w:type="dxa"/>
          </w:tcPr>
          <w:p w14:paraId="612EC0A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quyết toán NSĐP năm 2024 của tỉnh Lào Cai</w:t>
            </w:r>
          </w:p>
        </w:tc>
      </w:tr>
      <w:tr w:rsidR="00A40329" w:rsidRPr="00E24264" w14:paraId="612EC0BB" w14:textId="77777777" w:rsidTr="00A40329">
        <w:trPr>
          <w:cantSplit/>
          <w:trHeight w:val="231"/>
        </w:trPr>
        <w:tc>
          <w:tcPr>
            <w:tcW w:w="559" w:type="dxa"/>
          </w:tcPr>
          <w:p w14:paraId="612EC0A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B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B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B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B3" w14:textId="77777777" w:rsidR="00A40329" w:rsidRPr="00E24264" w:rsidRDefault="00A40329" w:rsidP="00DB0AA4">
            <w:pPr>
              <w:spacing w:after="0" w:line="240" w:lineRule="auto"/>
              <w:jc w:val="both"/>
              <w:rPr>
                <w:rFonts w:ascii="Times New Roman" w:eastAsia="Times New Roman" w:hAnsi="Times New Roman" w:cs="Times New Roman"/>
                <w:i/>
                <w:iCs/>
                <w:sz w:val="20"/>
                <w:szCs w:val="20"/>
              </w:rPr>
            </w:pPr>
            <w:r w:rsidRPr="00E24264">
              <w:rPr>
                <w:rFonts w:ascii="Times New Roman" w:eastAsia="Times New Roman" w:hAnsi="Times New Roman" w:cs="Times New Roman"/>
                <w:sz w:val="20"/>
                <w:szCs w:val="20"/>
              </w:rPr>
              <w:t xml:space="preserve">-  Phụ lục II Quyết định 29/2024/QĐ-UBND ngày 13/12/2024 của UBND tỉnh Phú Thọ quy định phân công nhiệm vụ quản lý nhà nước về giá, thẩm định giá trên địa bàn tỉnh Phú Thọ giao Sở Y tế tiếp nhận kê khai giá dịch vụ khám bệnh, chữa bệnh </w:t>
            </w:r>
            <w:r w:rsidRPr="00E24264">
              <w:rPr>
                <w:rFonts w:ascii="Times New Roman" w:eastAsia="Times New Roman" w:hAnsi="Times New Roman" w:cs="Times New Roman"/>
                <w:sz w:val="20"/>
                <w:szCs w:val="20"/>
                <w:u w:val="single"/>
              </w:rPr>
              <w:t>theo yêu cầu</w:t>
            </w:r>
            <w:r w:rsidRPr="00E24264">
              <w:rPr>
                <w:rFonts w:ascii="Times New Roman" w:eastAsia="Times New Roman" w:hAnsi="Times New Roman" w:cs="Times New Roman"/>
                <w:sz w:val="20"/>
                <w:szCs w:val="20"/>
              </w:rPr>
              <w:t xml:space="preserve"> của các cơ sở khám bệnh, chữa bệnh của Nhà nước trên địa bàn </w:t>
            </w:r>
            <w:r w:rsidRPr="00E24264">
              <w:rPr>
                <w:rFonts w:ascii="Times New Roman" w:eastAsia="Times New Roman" w:hAnsi="Times New Roman" w:cs="Times New Roman"/>
                <w:i/>
                <w:iCs/>
                <w:sz w:val="20"/>
                <w:szCs w:val="20"/>
              </w:rPr>
              <w:t>(ngoài các cơ sở khám bệnh, chữa bệnh thực hiện kê khai giá tại Bộ Y tế)</w:t>
            </w:r>
            <w:r w:rsidRPr="00E24264">
              <w:rPr>
                <w:rFonts w:ascii="Times New Roman" w:eastAsia="Times New Roman" w:hAnsi="Times New Roman" w:cs="Times New Roman"/>
                <w:sz w:val="20"/>
                <w:szCs w:val="20"/>
              </w:rPr>
              <w:t xml:space="preserve"> và các cơ sở khám bệnh, chữa bệnh tư nhân trên địa bàn quản lý là không phù hợp với điểm đ khoản 2 Điều 16 Nghị định số 85/2024/NĐ-CP ngày 10/7/2024 của Chính phủ quy định chi tiết một số điều của Luật giá…</w:t>
            </w:r>
          </w:p>
          <w:p w14:paraId="612EC0B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Địa phương đang thực hiện cơ chế quản lý tài chính của Khu di tích lịch sử Đền Hùng theo Quyết định số 26/2021/QĐ-UBND ngày 21/12/2021 của UBND tỉnh; tuy nhiên, điểm a khoản 2 Điều 2 Quyết định số 26/2021/QĐ-UBND quy định …chưa phù hợp với quy định về quản lý, sử dụng tiền công đức, tài trợ cho di tích giao cho Ban quản lý di tích kiêm nhiệm quản lý, sử dụng tại khoản 1, 2 Điều 13 Thông tư số 04/2023/TT-BTC của Bộ Tài chính hướng dẫn quản lý, thu chi tài chính cho công tác tổ chức lễ hội và tiền công đức, tài trợ cho di tích và hoạt động lễ hội.</w:t>
            </w:r>
          </w:p>
          <w:p w14:paraId="612EC0B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bookmarkStart w:id="16" w:name="_72d58wbxusx8" w:colFirst="0" w:colLast="0"/>
            <w:bookmarkEnd w:id="16"/>
            <w:r w:rsidRPr="00E24264">
              <w:rPr>
                <w:rFonts w:ascii="Times New Roman" w:eastAsia="Times New Roman" w:hAnsi="Times New Roman" w:cs="Times New Roman"/>
                <w:sz w:val="20"/>
                <w:szCs w:val="20"/>
              </w:rPr>
              <w:t>- Đài Phát thanh và Truyền hình tỉnh Phú Thọ: (i) Chưa phối hợp các cơ quan có liên quan để tham mưu UBND tỉnh ban hành danh mục sự nghiệp công sử dụng ngân sách nhà nước đối với sản xuất chương trình truyền hình, chương trình phát thanh theo phân cấp thuộc phạm vi quản lý của địa phương theo quy định tại điểm b khoản 3 Điều 4 Nghị định số 60/2021/NĐ-CP và điểm a khoản 2 Điều 26 Nghị định số 32/2019/NĐ-CP. (ii) Chưa phối hợp các cơ quan có liên quan để tham mưu UBND tỉnh ban hành định mức kinh tế - kỹ thuật, định mức chi phí đối với sản phẩm dịch vụ công về lĩnh vực sản xuất truyền hình, chương trình phát thanh theo quy định tại điểm b khoản 2 Điều 26 Nghị định số 32/2019/NĐ-CP (Đến thời điểm kiểm toán địa phương chưa ban hành định mức kinh tế kỹ thuật lĩnh vực phát thanh truyền hình).</w:t>
            </w:r>
          </w:p>
          <w:p w14:paraId="612EC0B6"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các quyết định của UBND tỉnh quy định chức năng, nhiệm vụ, quyền hạn và cơ cấu tổ chức của các sở, các đơn vị có nhiệm vụ quản lý và chịu trách nhiệm về tài chính, tài sản được giao theo sự phân công hoặc ủy quyền của UBND tỉnh; tuy nhiên đến nay, UBND tỉnh chưa có văn bản phân công hoặc ủy quyền.</w:t>
            </w:r>
          </w:p>
        </w:tc>
        <w:tc>
          <w:tcPr>
            <w:tcW w:w="3827" w:type="dxa"/>
          </w:tcPr>
          <w:p w14:paraId="612EC0B7"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Trong quá trình hoàn thiện các văn bản thuộc thẩm quyền của UBND tỉnh (sau sáp nhập) lưu ý giải quyết các hạn chế, bất cập đã được chỉ ra trong báo cáo kiểm toán, gồm: Phụ lục II Quyết định số 29/2024/QĐ-UBND chưa phù hợp với điểm đ khoản 2 Điều 16 Nghị định số 85/2024/NĐ-CP; khoản 2 Điều 2 Quyết định số 26/2021/QĐ-UBND chưa phù hợp với khoản 1, 2 Điều 13 Thông tư số 04/2023/TT-BTC; việc UBND tỉnh chưa ban hành danh mục sự nghiệp công sử dụng ngân sách nhà nước đối với sản xuất chương trình truyền hình, chương trình phát thanh theo phân cấp thuộc phạm vi quản lý của địa phương, chưa ban hành định mức kinh tế - kỹ thuật, định mức chi phí đối với sản phẩm dịch vụ công về lĩnh vực sản xuất truyền hình, chương trình phát thanh; chưa ban hành văn bản phân công hoặc ủy quyền việc quản lý tài chính, tài sản được giao cho các sở, ngành.</w:t>
            </w:r>
          </w:p>
        </w:tc>
        <w:tc>
          <w:tcPr>
            <w:tcW w:w="2126" w:type="dxa"/>
          </w:tcPr>
          <w:p w14:paraId="612EC0B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Báo cáo kiểm toán NSĐP và quyết toán NSĐP năm 2024 của tỉnh Phú Thọ.</w:t>
            </w:r>
          </w:p>
        </w:tc>
      </w:tr>
      <w:tr w:rsidR="00A40329" w:rsidRPr="00E24264" w14:paraId="612EC0C8" w14:textId="77777777" w:rsidTr="00A40329">
        <w:trPr>
          <w:cantSplit/>
          <w:trHeight w:val="231"/>
        </w:trPr>
        <w:tc>
          <w:tcPr>
            <w:tcW w:w="559" w:type="dxa"/>
          </w:tcPr>
          <w:p w14:paraId="612EC0B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B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Phú Thọ</w:t>
            </w:r>
          </w:p>
        </w:tc>
        <w:tc>
          <w:tcPr>
            <w:tcW w:w="851" w:type="dxa"/>
          </w:tcPr>
          <w:p w14:paraId="612EC0B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B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C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Bệnh viện Đa khoa tỉnh Phú Thọ</w:t>
            </w:r>
          </w:p>
          <w:p w14:paraId="612EC0C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w:t>
            </w:r>
            <w:bookmarkStart w:id="17" w:name="9lea0amogg78" w:colFirst="0" w:colLast="0"/>
            <w:bookmarkEnd w:id="17"/>
            <w:r w:rsidRPr="00E24264">
              <w:rPr>
                <w:rFonts w:ascii="Times New Roman" w:eastAsia="Times New Roman" w:hAnsi="Times New Roman" w:cs="Times New Roman"/>
                <w:sz w:val="20"/>
                <w:szCs w:val="20"/>
              </w:rPr>
              <w:t xml:space="preserve"> Quy chế quản lý, sử dụng tài sản công của Bệnh viện còn thiếu nội dung quyền và nghĩa vụ của từng bộ phận, cá nhân có liên quan đến việc sử dụng tài sản công vào mục đích kinh doanh, cho thuê, liên </w:t>
            </w:r>
            <w:r w:rsidRPr="00E24264">
              <w:rPr>
                <w:rFonts w:ascii="Times New Roman" w:eastAsia="Times New Roman" w:hAnsi="Times New Roman" w:cs="Times New Roman"/>
                <w:sz w:val="20"/>
                <w:szCs w:val="20"/>
              </w:rPr>
              <w:lastRenderedPageBreak/>
              <w:t>doanh, liên kết theo quy định tại điểm a, khoản 3 Điều 7 Thông tư số 144/2017/TT-BTC hướng dẫn một số nội dung của Nghị định số </w:t>
            </w:r>
            <w:bookmarkStart w:id="18" w:name="7bb264fqsac6" w:colFirst="0" w:colLast="0"/>
            <w:bookmarkEnd w:id="18"/>
            <w:r w:rsidRPr="00E24264">
              <w:rPr>
                <w:rFonts w:ascii="Times New Roman" w:eastAsia="Times New Roman" w:hAnsi="Times New Roman" w:cs="Times New Roman"/>
                <w:sz w:val="20"/>
                <w:szCs w:val="20"/>
              </w:rPr>
              <w:t>151/2017/NĐ-CP ngày 26/12/2017 của Chính phủ quy định chi tiết một số điều của </w:t>
            </w:r>
            <w:bookmarkStart w:id="19" w:name="ibhbbj8cf5cj" w:colFirst="0" w:colLast="0"/>
            <w:bookmarkEnd w:id="19"/>
            <w:r w:rsidRPr="00E24264">
              <w:rPr>
                <w:rFonts w:ascii="Times New Roman" w:eastAsia="Times New Roman" w:hAnsi="Times New Roman" w:cs="Times New Roman"/>
                <w:sz w:val="20"/>
                <w:szCs w:val="20"/>
              </w:rPr>
              <w:t>Luật Quản lý, sử dụng tài sản công.</w:t>
            </w:r>
          </w:p>
          <w:p w14:paraId="612EC0C2"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Chậm rà soát ban hành giá khám chữa bệnh theo yêu cầu theo quy định tại khoản 2 Điều 9 Thông tư số </w:t>
            </w:r>
            <w:bookmarkStart w:id="20" w:name="itu81gve2gd" w:colFirst="0" w:colLast="0"/>
            <w:bookmarkEnd w:id="20"/>
            <w:r w:rsidRPr="00E24264">
              <w:rPr>
                <w:rFonts w:ascii="Times New Roman" w:eastAsia="Times New Roman" w:hAnsi="Times New Roman" w:cs="Times New Roman"/>
                <w:sz w:val="20"/>
                <w:szCs w:val="20"/>
              </w:rPr>
              <w:t>13/2023/TT-BYT ngày 29/6/2023 của Bộ trưởng Bộ Y tế quy định khung giá và phương pháp định giá dịch vụ khám bệnh, chữa bệnh theo yêu cầu do cơ sở khám bệnh, chữa bệnh của nhà nước cung cấp.</w:t>
            </w:r>
          </w:p>
        </w:tc>
        <w:tc>
          <w:tcPr>
            <w:tcW w:w="3827" w:type="dxa"/>
          </w:tcPr>
          <w:p w14:paraId="612EC0C3"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UBND tỉnh chỉ đạo Bệnh viện Đa khoa tỉnh: (i) Sửa đổi, bổ sung quy chế chi tiêu nội bộ nội dung quyền và nghĩa vụ của từng bộ phận, cá nhân có liên quan đến việc sử dụng tài sản </w:t>
            </w:r>
            <w:r w:rsidRPr="00E24264">
              <w:rPr>
                <w:rFonts w:ascii="Times New Roman" w:eastAsia="Times New Roman" w:hAnsi="Times New Roman" w:cs="Times New Roman"/>
                <w:sz w:val="20"/>
                <w:szCs w:val="20"/>
              </w:rPr>
              <w:lastRenderedPageBreak/>
              <w:t>công vào mục đích kinh doanh, cho thuê, liên doanh, liên kết theo quy định tại điểm a khoản 3 Điều 7 của Thông tư số 144/2017/TT-BTC. (ii) Rà soát, xây dựng giá khám chữa bệnh theo yêu cầu phù hợp với tình hình thực tiễn của đơn vị để tổ chức thực hiện theo quy định tại Điều 10 Thông tư số 21/2024/TT-BYT.</w:t>
            </w:r>
          </w:p>
          <w:p w14:paraId="612EC0C4"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p>
        </w:tc>
        <w:tc>
          <w:tcPr>
            <w:tcW w:w="2126" w:type="dxa"/>
          </w:tcPr>
          <w:p w14:paraId="612EC0C5"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kiểm toán NSĐP và quyết toán NSĐP năm 2024 của tỉnh Phú Thọ.</w:t>
            </w:r>
          </w:p>
        </w:tc>
      </w:tr>
      <w:tr w:rsidR="00A40329" w:rsidRPr="00E24264" w14:paraId="612EC0D4" w14:textId="77777777" w:rsidTr="00A40329">
        <w:trPr>
          <w:cantSplit/>
          <w:trHeight w:val="231"/>
        </w:trPr>
        <w:tc>
          <w:tcPr>
            <w:tcW w:w="559" w:type="dxa"/>
          </w:tcPr>
          <w:p w14:paraId="612EC0C9"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CA"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Cục Đường bộ Việt Nam</w:t>
            </w:r>
          </w:p>
        </w:tc>
        <w:tc>
          <w:tcPr>
            <w:tcW w:w="851" w:type="dxa"/>
          </w:tcPr>
          <w:p w14:paraId="612EC0CB"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CC"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CD"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quy định , Cơ quan quản lý tài sản hạ tầng giao thông đường bộ có trách nhiệm ban hành văn bản xây dựng tiêu chí yêu cầu về chất lượng đối với hạng mục hầm hoặc cầu lớn, tuy nhiên còn một số hạng mục hầm, cầu lớn đang thực hiện theo tiêu chí yêu cầu về chất lượng tạm thời , cần rà soát để ban hành tiêu chí yêu cầu về chất lượng đầy đủ.</w:t>
            </w:r>
          </w:p>
          <w:p w14:paraId="612EC0CE"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Lập quy trình bảo trì cầu: Số liệu theo dõi hệ thống VBMS tổng số cầu phải lập quy trình bảo trì riêng là 226 cầu (158 cầu cấp II và 68 cầu cấp I và đặc biệt) nhưng mới có 50 cầu đã lập quy trình bảo trì riêng, còn 176 cầu chưa có quy trình bảo trì riêng theo quy định.</w:t>
            </w:r>
          </w:p>
          <w:p w14:paraId="612EC0CF"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Khu QLĐB I có các công trình cầu đường bộ cấp III thực tế sau 20-30 năm đưa vào khai thác chưa được bảo trì, chưa được đánh giá an toàn theo quy định tại khoản 1, 2 Điều 37 Nghị định số 06/2021/NĐ-CP của Chính phủ, tuy nhiên chưa có quy định cụ thể về định kỳ thời gian kiểm định cầu của các công trình cầu cấp từ III trở xuống.</w:t>
            </w:r>
          </w:p>
        </w:tc>
        <w:tc>
          <w:tcPr>
            <w:tcW w:w="3827" w:type="dxa"/>
          </w:tcPr>
          <w:p w14:paraId="612EC0D0"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ban hành tiêu chí yêu cầu về chất lượng đối với hạng mục hầm hoặc cầu lớn theo đúng yêu cầu được quy định tại mục 4, phần III Phụ lục số II Thông tư số 48/2019/TT-BGTVT (được thay thế bởi điểm 4 mục III phụ lục số IV Thông tư số 41/2024/TT-BGTVT). Rà soát, xây dựng ban hành các quy trình bảo trì đối với các hạng mục công trình chưa có quy trình bảo trì riêng theo quy định; rà soát báo cáo cấp thẩm quyền xem xét quy định quy trình bảo trì đối với công trình cầu cấp III trở xuống, trong đó cần có quy định về định kỳ kiểm định cầu.</w:t>
            </w:r>
          </w:p>
        </w:tc>
        <w:tc>
          <w:tcPr>
            <w:tcW w:w="2126" w:type="dxa"/>
          </w:tcPr>
          <w:p w14:paraId="612EC0D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hoạt động công tác quản lý, sử dụng kinh phí chi hoạt động kinh tế đường bộ giai đoạn 2023 - 2024 tại Bộ Xây dựng (Bộ Giao thông vận tải)</w:t>
            </w:r>
          </w:p>
        </w:tc>
      </w:tr>
      <w:tr w:rsidR="00A40329" w:rsidRPr="00E24264" w14:paraId="612EC0DE" w14:textId="77777777" w:rsidTr="00A40329">
        <w:trPr>
          <w:cantSplit/>
          <w:trHeight w:val="231"/>
        </w:trPr>
        <w:tc>
          <w:tcPr>
            <w:tcW w:w="559" w:type="dxa"/>
          </w:tcPr>
          <w:p w14:paraId="612EC0D5"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D6"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Cần Thơ</w:t>
            </w:r>
          </w:p>
        </w:tc>
        <w:tc>
          <w:tcPr>
            <w:tcW w:w="851" w:type="dxa"/>
          </w:tcPr>
          <w:p w14:paraId="612EC0D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D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D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Địa phương chưa ban hành mức hỗ trợ cho những người trực tiếp tham gia nhiệm vụ phòng, chống dịch theo quy định tại khoản 4 Điều 5 Quyết định số 719/QĐ-TTg ngày 05/6/2008 của Thủ tướng Chính phủ về chính sách hỗ trợ phòng, chống dịch bệnh gia súc, gia cầm. Đến ngày 25/7/2025, Quyết định số 719/QĐ-TTg được thay thế bởi Nghị định số 116/2025/NĐ-CP ngày 05/6/2025 của Chính phủ quy định về chính sách hỗ trợ khắc phục dịch bệnh động vật, theo đó tại điểm d khoản 3 Điều 12 quy định trách nhiệm của UBND cấp tỉnh trình HĐND cùng cấp quyết định mức hỗ trợ cho người tham gia khắc phục dịch bệnh động vật trên địa bàn nhưng đến thời điểm kiểm toán (ngày 31/7/2025) địa phương vẫn chưa ban hành mức hỗ trợ trên.</w:t>
            </w:r>
          </w:p>
        </w:tc>
        <w:tc>
          <w:tcPr>
            <w:tcW w:w="3827" w:type="dxa"/>
          </w:tcPr>
          <w:p w14:paraId="612EC0DA"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Trình HĐND Thành phố ban hành mức hỗ trợ cho người tham gia khắc phục dịch bệnh động vật trên địa bàn phù hợp với thực tế địa phương theo quy định tại điểm d khoản 3 Điều 12 Nghị định số 116/2025/NĐ-CP ngày 05/06/2025 của Chính phủ quy định về chính sách hỗ trợ khắc phục dịch bệnh động vật.</w:t>
            </w:r>
          </w:p>
        </w:tc>
        <w:tc>
          <w:tcPr>
            <w:tcW w:w="2126" w:type="dxa"/>
          </w:tcPr>
          <w:p w14:paraId="612EC0D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Chuyên đề việc quản lý, sử dụng kinh phí nông nghiệp giai đoạn 2022-2024 tại thành phố Cần Thơ</w:t>
            </w:r>
          </w:p>
        </w:tc>
      </w:tr>
      <w:tr w:rsidR="00A40329" w:rsidRPr="00E24264" w14:paraId="612EC0EB" w14:textId="77777777" w:rsidTr="00A40329">
        <w:trPr>
          <w:cantSplit/>
          <w:trHeight w:val="231"/>
        </w:trPr>
        <w:tc>
          <w:tcPr>
            <w:tcW w:w="559" w:type="dxa"/>
          </w:tcPr>
          <w:p w14:paraId="612EC0DF"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E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thành phố Cần Thơ</w:t>
            </w:r>
          </w:p>
        </w:tc>
        <w:tc>
          <w:tcPr>
            <w:tcW w:w="851" w:type="dxa"/>
          </w:tcPr>
          <w:p w14:paraId="612EC0E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E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E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 Từ ngày 01/11/2024, có 4/5 Bệnh viện cơ cấu tiền thuê đất vào đơn giá KCB theo yêu cầu là chưa phù hợp tại điểm c khoản 5 Điều 43 Nghị định số 151/2017/NĐ-CP được sửa đổi bổ sung tại khoản 39 </w:t>
            </w:r>
            <w:r w:rsidRPr="00E24264">
              <w:rPr>
                <w:rFonts w:ascii="Times New Roman" w:eastAsia="Times New Roman" w:hAnsi="Times New Roman" w:cs="Times New Roman"/>
                <w:sz w:val="20"/>
                <w:szCs w:val="20"/>
              </w:rPr>
              <w:lastRenderedPageBreak/>
              <w:t>Điều 1 Nghị định số 114/2024/NĐ-CP và điểm b khoản 2 Điều 3 Nghị định số 114/2024/NĐ-CP.</w:t>
            </w:r>
          </w:p>
          <w:p w14:paraId="612EC0E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Bệnh viện Phụ sản chưa ban hành định mức kinh tế kỹ thuật là chưa phù hợp với quy định tại khoản 1 và khoản 2 Điều 11 Thông tư số 25/2014/TT-BTC ngày 17/02/2014 của Bộ Tài chính về việc quy định phương pháp định giá chung đối với hàng hóa, dịch vụ.</w:t>
            </w:r>
          </w:p>
        </w:tc>
        <w:tc>
          <w:tcPr>
            <w:tcW w:w="3827" w:type="dxa"/>
          </w:tcPr>
          <w:p w14:paraId="612EC0E5"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UBND thành phố Cần Thơ  Chỉ đạo các Bệnh viện được kiểm toán thực hiện nghiêm các nội dung sau:</w:t>
            </w:r>
          </w:p>
          <w:p w14:paraId="612EC0E6"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Rà soát, điều chỉnh lại đơn giá dịch vụ KCB theo yêu cầu, loại bỏ khoản chi phí tiền thuê đất ra khỏi phương án giá, bảo đảm phù hợp với quy định tại khoản 5 Điều 43 Nghị định số 151/2017/NĐ-CP ngày 26/12/2017, được bổ sung tại khoản 39 Điều 1 Nghị định số 114/2024/NĐ-CP ngày 14/9/2024 về việc sửa đổi, bổ sung một số điều của Nghị định số 151/2017/NĐ-CP ngày 26/12/2017 của Chính phủ quy định chi tiết một số điều của Luật Quản lý, sử dụng tài sản công (Bệnh viện Đa Khoa, Bệnh viện Ung Bướu, Bệnh viện Tim Mạch, Bệnh viện Nhi đồng).</w:t>
            </w:r>
          </w:p>
          <w:p w14:paraId="612EC0E7"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Ban hành định mức kinh tế kỹ thuật của chi phí đối với dịch vụ khám bệnh chữa bệnh theo yêu cầu thuộc thẩm quyền của cơ sở y tế (Bệnh viện Phụ sản).</w:t>
            </w:r>
          </w:p>
        </w:tc>
        <w:tc>
          <w:tcPr>
            <w:tcW w:w="2126" w:type="dxa"/>
          </w:tcPr>
          <w:p w14:paraId="612EC0E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 xml:space="preserve">Chuyên đề việc quản lý, sử dụng kinh phí hoạt động năm 2024 của cơ </w:t>
            </w:r>
            <w:r w:rsidRPr="00E24264">
              <w:rPr>
                <w:rFonts w:ascii="Times New Roman" w:eastAsia="Times New Roman" w:hAnsi="Times New Roman" w:cs="Times New Roman"/>
                <w:sz w:val="20"/>
                <w:szCs w:val="20"/>
              </w:rPr>
              <w:lastRenderedPageBreak/>
              <w:t>sở y tế công lập tại thành phố Cần Thơ.</w:t>
            </w:r>
          </w:p>
        </w:tc>
      </w:tr>
      <w:tr w:rsidR="00A40329" w:rsidRPr="00E24264" w14:paraId="612EC0F5" w14:textId="77777777" w:rsidTr="00A40329">
        <w:trPr>
          <w:cantSplit/>
          <w:trHeight w:val="231"/>
        </w:trPr>
        <w:tc>
          <w:tcPr>
            <w:tcW w:w="559" w:type="dxa"/>
          </w:tcPr>
          <w:p w14:paraId="612EC0EC"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ED"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Sơn La</w:t>
            </w:r>
          </w:p>
        </w:tc>
        <w:tc>
          <w:tcPr>
            <w:tcW w:w="851" w:type="dxa"/>
          </w:tcPr>
          <w:p w14:paraId="612EC0E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E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F0"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Sơn La chưa ban hành đầy đủ theo thẩm quyền các quy định, chương trình, đề án kế hoạch theo quy định tại khoản 1 Điều 63 Nghị định số 08/2022/NĐ-CP ngày 10/01/2022 của Chính phủ, cụ thể: chưa ban hành biện pháp thực hiện các cơ chế, chính sách ưu đãi, hỗ trợ để khuyến khích tổ chức, cá nhân tham gia đầu tư và cung cấp dịch vụ thu gom, vận chuyển và đầu tư cơ sở xử lý chất thải rắn sinh hoạt phù hợp với điều kiện phát triển kinh tế - xã hội của địa phương theo quy định tại điểm c khoản 1 Điều 63 Nghị định số 08/2022/NĐ-CP ngày 10/01/2022 của Chính phủ.</w:t>
            </w:r>
          </w:p>
        </w:tc>
        <w:tc>
          <w:tcPr>
            <w:tcW w:w="3827" w:type="dxa"/>
          </w:tcPr>
          <w:p w14:paraId="612EC0F1"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ban hành biện pháp thực hiện các cơ chế, chính sách ưu đãi, hỗ trợ để khuyến khích tổ chức, cá nhân tham gia đầu tư và cung cấp dịch vụ thu gom, vận chuyển, đầu tư cơ sở xử lý chất thải rắn sinh hoạt phù hợp với điều kiện phát triển kinh tế - xã hội của địa phương.</w:t>
            </w:r>
          </w:p>
        </w:tc>
        <w:tc>
          <w:tcPr>
            <w:tcW w:w="2126" w:type="dxa"/>
          </w:tcPr>
          <w:p w14:paraId="612EC0F2"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Hoạt động Đề án ổn định dân cư phát triển kinh tế - xã hội vùng tái định cư thủy điện Sơn La tại tỉnh Sơn La; Hoạt động thu gom, vận chuyển, xử lý chất thải rắn sinh hoạt đô thị giai đoạn 2021-2024 trên địa bàn tỉnh Sơn La.</w:t>
            </w:r>
          </w:p>
        </w:tc>
      </w:tr>
      <w:tr w:rsidR="00A40329" w:rsidRPr="00E24264" w14:paraId="612EC101" w14:textId="77777777" w:rsidTr="00A40329">
        <w:trPr>
          <w:cantSplit/>
          <w:trHeight w:val="231"/>
        </w:trPr>
        <w:tc>
          <w:tcPr>
            <w:tcW w:w="559" w:type="dxa"/>
          </w:tcPr>
          <w:p w14:paraId="612EC0F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0F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Sơn La</w:t>
            </w:r>
          </w:p>
        </w:tc>
        <w:tc>
          <w:tcPr>
            <w:tcW w:w="851" w:type="dxa"/>
          </w:tcPr>
          <w:p w14:paraId="612EC0F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0F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0FA"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bookmarkStart w:id="21" w:name="_48z8dmdqb9jb" w:colFirst="0" w:colLast="0"/>
            <w:bookmarkEnd w:id="21"/>
            <w:r w:rsidRPr="00E24264">
              <w:rPr>
                <w:rFonts w:ascii="Times New Roman" w:eastAsia="Times New Roman" w:hAnsi="Times New Roman" w:cs="Times New Roman"/>
                <w:sz w:val="20"/>
                <w:szCs w:val="20"/>
              </w:rPr>
              <w:t>- UBND tỉnh Sơn La chưa quy hoạch điểm tập kết, trạm trung chuyển đáp ứng yêu cầu kỹ thuật về bảo vệ môi trường theo quy định tại khoản 2 Điều 76 Luật Bảo vệ môi trường.</w:t>
            </w:r>
          </w:p>
          <w:p w14:paraId="612EC0FB"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Chưa ban hành kế hoạch công tác thu gom, vận chuyển, xử lý chất thải rắn sinh hoạt năm 2023 theo quy định tại điểm d khoản 1 Điều 63 Nghị định số 08/2022/NĐ-CP ngày 10/01/2022 của Chính phủ.</w:t>
            </w:r>
          </w:p>
          <w:p w14:paraId="612EC0F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Đến thời điểm kiểm toán (tháng 6/2025), UBND tỉnh Sơn La chưa có phương án xử lý ô nhiễm, cải tạo bãi rác xã Chiềng Xôm, thành phố Sơn La (đã đóng cửa từ năm 2013) theo quy định tại khoản 1 Điều 80 Luật BVMT số 72/2020/QH14.</w:t>
            </w:r>
          </w:p>
        </w:tc>
        <w:tc>
          <w:tcPr>
            <w:tcW w:w="3827" w:type="dxa"/>
          </w:tcPr>
          <w:p w14:paraId="612EC0FD"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Chưa tham mưu UBND tỉnh ban hành: Quy hoạch điểm tập kết, trạm trung chuyển đáp ứng yêu cầu kỹ thuật về BVMT; Kế hoạch công tác thu gom, vận chuyển, xử lý chất thải rắn sinh hoạt năm 2023; Biện pháp thực hiện các cơ chế, chính sách ưu đãi, hỗ trợ để khuyến khích tổ chức, cá nhân tham gia đầu tư và cung cấp dịch vụ thu gom, vận chuyển và đầu tư cơ sở xử lý chất thải rắn sinh hoạt phù hợp với điều kiện phát triển kinh tế - xã hội của địa phương; Phương án xử lý ô nhiễm, cải tạo bãi rác xã Chiềng Xôm, thành phố Sơn La.</w:t>
            </w:r>
          </w:p>
        </w:tc>
        <w:tc>
          <w:tcPr>
            <w:tcW w:w="2126" w:type="dxa"/>
          </w:tcPr>
          <w:p w14:paraId="612EC0FE"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Hoạt động Đề án ổn định dân cư phát triển kinh tế - xã hội vùng tái định cư thủy điện Sơn La tại tỉnh Sơn La; Hoạt động thu gom, vận chuyển, xử lý chất thải rắn sinh hoạt đô thị giai đoạn 2021-2024 trên địa bàn tỉnh Sơn La.</w:t>
            </w:r>
          </w:p>
        </w:tc>
      </w:tr>
      <w:tr w:rsidR="00A40329" w:rsidRPr="00E24264" w14:paraId="612EC10C" w14:textId="77777777" w:rsidTr="00A40329">
        <w:trPr>
          <w:cantSplit/>
          <w:trHeight w:val="231"/>
        </w:trPr>
        <w:tc>
          <w:tcPr>
            <w:tcW w:w="559" w:type="dxa"/>
          </w:tcPr>
          <w:p w14:paraId="612EC10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103"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C10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105"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106"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Theo khoản 8 Điều 45  Nghị định số 08/2022/NĐ-CP quy định hồ sơ phế liệu nhập khẩu ngoài những hồ sơ theo quy định của pháp luật về hải quan phải có văn bản cam kết theo mẫu tại Phụ lục XXI (ban hành kèm theo) và nội dung cam kết theo mẫu tại điểm III.2 văn bản cam kết quy định trong hợp đồng mua bán với bên xuất khẩu có điều khoản yêu cầu bên xuất khẩu phải nhận lại hàng nếu phế liệu không đáp ứng các quy chuẩn kỹ thuật môi trường và quy định hiện hành của Việt Nam về bảo vệ môi trường. Tuy nhiên quy định về hồ sơ hải quan tại khoản 5 Điều 1 Thông tư số 39/2018/TT-BTC không có hợp đồng mua bán, do đó cơ quan Hải quan không kiểm tra được nội dung cam kết có trong hợp đồng hay không.</w:t>
            </w:r>
          </w:p>
          <w:p w14:paraId="612EC107"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Tại mục 3.2 và 4.3 QCVN 32:2024/BTNMT (Quy chuẩn kỹ thuật quốc gia về phế liệu nhập khẩu từ nước ngoài làm nguyên liệu sản xuất ban hành tại Thông tư số 44/2024/TT-BTNMT ngày 30/12/2024) quy định “</w:t>
            </w:r>
            <w:r w:rsidRPr="00E24264">
              <w:rPr>
                <w:rFonts w:ascii="Times New Roman" w:eastAsia="Times New Roman" w:hAnsi="Times New Roman" w:cs="Times New Roman"/>
                <w:b/>
                <w:bCs/>
                <w:sz w:val="20"/>
                <w:szCs w:val="20"/>
              </w:rPr>
              <w:t>phiếu kết quả quan trắc</w:t>
            </w:r>
            <w:r w:rsidRPr="00E24264">
              <w:rPr>
                <w:rFonts w:ascii="Times New Roman" w:eastAsia="Times New Roman" w:hAnsi="Times New Roman" w:cs="Times New Roman"/>
                <w:sz w:val="20"/>
                <w:szCs w:val="20"/>
              </w:rPr>
              <w:t>” là kết quả việc lấy mẫu để phân tích, thử nghiệm xác định tỷ lệ tạp chất...; Tuy nhiên tại các văn bản  hiện hành quy định về hồ sơ hải quan đối với phế liệu nhập khẩu không quy định “</w:t>
            </w:r>
            <w:r w:rsidRPr="00E24264">
              <w:rPr>
                <w:rFonts w:ascii="Times New Roman" w:eastAsia="Times New Roman" w:hAnsi="Times New Roman" w:cs="Times New Roman"/>
                <w:b/>
                <w:bCs/>
                <w:sz w:val="20"/>
                <w:szCs w:val="20"/>
              </w:rPr>
              <w:t>phiếu kết quả quan trắc</w:t>
            </w:r>
            <w:r w:rsidRPr="00E24264">
              <w:rPr>
                <w:rFonts w:ascii="Times New Roman" w:eastAsia="Times New Roman" w:hAnsi="Times New Roman" w:cs="Times New Roman"/>
                <w:sz w:val="20"/>
                <w:szCs w:val="20"/>
              </w:rPr>
              <w:t>” là hồ sơ bắt buộc khi thực hiện thông quan hàng hóa. Điều này có nguy cơ dẫn đến các gian lận trong hoạt động nhập khẩu phế liệu làm nguyên liệu sản xuất trong nước.</w:t>
            </w:r>
          </w:p>
        </w:tc>
        <w:tc>
          <w:tcPr>
            <w:tcW w:w="3827" w:type="dxa"/>
          </w:tcPr>
          <w:p w14:paraId="612EC108"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Nghiên cứu bổ sung quy định theo thẩm quyền hoặc báo cáo cơ quan có thẩm quyền bổ sung quy định đối với hồ sơ phế liệu nhập khẩu làm nguyên liệu sản xuất: (i) “</w:t>
            </w:r>
            <w:r w:rsidRPr="00E24264">
              <w:rPr>
                <w:rFonts w:ascii="Times New Roman" w:eastAsia="Times New Roman" w:hAnsi="Times New Roman" w:cs="Times New Roman"/>
                <w:b/>
                <w:bCs/>
                <w:sz w:val="20"/>
                <w:szCs w:val="20"/>
              </w:rPr>
              <w:t>Phiếu kết quả quan trắc</w:t>
            </w:r>
            <w:r w:rsidRPr="00E24264">
              <w:rPr>
                <w:rFonts w:ascii="Times New Roman" w:eastAsia="Times New Roman" w:hAnsi="Times New Roman" w:cs="Times New Roman"/>
                <w:sz w:val="20"/>
                <w:szCs w:val="20"/>
              </w:rPr>
              <w:t>” là hồ sơ bắt buộc kèm theo tờ khai hải quan đối với trường hợp lấy mẫu để quan trắc phù hợp với quy định tại mục 3.2 và 4.3 QCVN 32:2024/BTNMT ban hành tại Thông tư số 44/2024/TT-BTNMT; (ii) “</w:t>
            </w:r>
            <w:r w:rsidRPr="00E24264">
              <w:rPr>
                <w:rFonts w:ascii="Times New Roman" w:eastAsia="Times New Roman" w:hAnsi="Times New Roman" w:cs="Times New Roman"/>
                <w:b/>
                <w:bCs/>
                <w:sz w:val="20"/>
                <w:szCs w:val="20"/>
              </w:rPr>
              <w:t>Hợp đồng mua bán hoặc thỏa thuận giao dịch</w:t>
            </w:r>
            <w:r w:rsidRPr="00E24264">
              <w:rPr>
                <w:rFonts w:ascii="Times New Roman" w:eastAsia="Times New Roman" w:hAnsi="Times New Roman" w:cs="Times New Roman"/>
                <w:sz w:val="20"/>
                <w:szCs w:val="20"/>
              </w:rPr>
              <w:t>” là hồ sơ bắt buộc kèm theo tờ khai hải quan để cơ quan Hải quan kiểm tra nội dung cam kết “bên xuất khẩu phải nhận lại hàng nếu phế liệu không đáp ứng các quy chuẩn kỹ thuật môi trường và quy định hiện hành của Việt Nam về bảo vệ môi trường” được ghi trong hợp đồng theo quy định tại văn bản cam kết (mẫu Phụ lục XXI) ban hành kèm theo Nghị định số 08/2022/NĐ-CP.</w:t>
            </w:r>
          </w:p>
        </w:tc>
        <w:tc>
          <w:tcPr>
            <w:tcW w:w="2126" w:type="dxa"/>
          </w:tcPr>
          <w:p w14:paraId="612EC109"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công tác quản lý, bảo vệ môi trường đối với các cơ sở nhập khẩu phế liệu từ nước ngoài làm nguyên liệu sản xuất giai đoạn 2022 - 2024</w:t>
            </w:r>
          </w:p>
        </w:tc>
      </w:tr>
      <w:tr w:rsidR="00A40329" w:rsidRPr="00E24264" w14:paraId="612EC116" w14:textId="77777777" w:rsidTr="00A40329">
        <w:trPr>
          <w:cantSplit/>
          <w:trHeight w:val="231"/>
        </w:trPr>
        <w:tc>
          <w:tcPr>
            <w:tcW w:w="559" w:type="dxa"/>
          </w:tcPr>
          <w:p w14:paraId="612EC10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10E"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Nông nghiệp và Môi trường</w:t>
            </w:r>
          </w:p>
        </w:tc>
        <w:tc>
          <w:tcPr>
            <w:tcW w:w="851" w:type="dxa"/>
          </w:tcPr>
          <w:p w14:paraId="612EC10F"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110"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w:t>
            </w:r>
          </w:p>
        </w:tc>
        <w:tc>
          <w:tcPr>
            <w:tcW w:w="5672" w:type="dxa"/>
          </w:tcPr>
          <w:p w14:paraId="612EC111"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TN&amp;MT chưa: (1) Xây dựng quy trình nghiệp vụ, kiểm soát để vận hành, duy trì cơ sở dữ liệu tài nguyên và môi trường; (2) xây dựng kế hoạch cập nhật nội dung cơ sở dữ liệu tài nguyên và môi trường; (3) xây dựng và thực hiện các giải pháp đồng bộ bảo đảm cơ sở dữ liệu có hiệu suất vận hành và sẵn sàng đáp ứng cao; (4) xây dựng và thực hiện các giải pháp về sao lưu, dự phòng bảo đảm tính nguyên vẹn, an toàn của cơ sở dữ liệu theo quy định tại Điều 13 Nghị định số 73/2017/NĐ-CP ngày 14/06/2017 của Chính phủ đối với Hệ thống thông tin, dữ liệu quan trắc môi trường.</w:t>
            </w:r>
          </w:p>
        </w:tc>
        <w:tc>
          <w:tcPr>
            <w:tcW w:w="3827" w:type="dxa"/>
          </w:tcPr>
          <w:p w14:paraId="612EC112"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Xây dựng các quy trình nghiệp vụ, kế hoạch, giải pháp theo quy định tại Điều 13 Nghị định số 73/2017/NĐ-CP ngày 14/06/2017 của Chính phủ, gồm: (i) Quy trình nghiệp vụ, kiểm soát để vận hành, duy trì cơ sở dữ liệu tài nguyên và môi trường; (ii) Kế hoạch cập nhật nội dung cơ sở dữ liệu tài nguyên và môi trường; (iii) Xây dựng và thực hiện các giải pháp đồng bộ bảo đảm cơ sở dữ liệu có hiệu suất vận hành và sẵn sàng đáp ứng cao; (iv) Xây dựng và thực hiện các giải pháp về sao lưu, dự phòng bảo đảm tính nguyên vẹn, an toàn của cơ sở dữ liệu.</w:t>
            </w:r>
          </w:p>
        </w:tc>
        <w:tc>
          <w:tcPr>
            <w:tcW w:w="2126" w:type="dxa"/>
          </w:tcPr>
          <w:p w14:paraId="612EC113"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công tác quản lý, bảo vệ môi trường đối với các cơ sở nhập khẩu phế liệu từ nước ngoài làm nguyên liệu sản xuất giai đoạn 2022 - 2024</w:t>
            </w:r>
          </w:p>
        </w:tc>
      </w:tr>
      <w:tr w:rsidR="00A40329" w:rsidRPr="00E24264" w14:paraId="1F1EF732" w14:textId="77777777" w:rsidTr="00A40329">
        <w:trPr>
          <w:cantSplit/>
          <w:trHeight w:val="231"/>
        </w:trPr>
        <w:tc>
          <w:tcPr>
            <w:tcW w:w="559" w:type="dxa"/>
          </w:tcPr>
          <w:p w14:paraId="354D8C0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B02ADBA" w14:textId="7CA5575D"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Y tế</w:t>
            </w:r>
          </w:p>
        </w:tc>
        <w:tc>
          <w:tcPr>
            <w:tcW w:w="851" w:type="dxa"/>
          </w:tcPr>
          <w:p w14:paraId="30CFC510" w14:textId="6E157BB3"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DC7C078" w14:textId="4937780A"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32F8446" w14:textId="7004F4C4"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iCs/>
                <w:sz w:val="20"/>
                <w:szCs w:val="20"/>
                <w:lang w:val="en-US"/>
              </w:rPr>
              <w:t>Bộ Y tế chưa ban hành Hướng dẫn theo quy định tại điểm a khoản 7 Điều 111 Nghị định số 08/2022/NĐ-CP.</w:t>
            </w:r>
          </w:p>
        </w:tc>
        <w:tc>
          <w:tcPr>
            <w:tcW w:w="3827" w:type="dxa"/>
          </w:tcPr>
          <w:p w14:paraId="30F2529D" w14:textId="092EFAF1"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bCs/>
                <w:iCs/>
                <w:sz w:val="20"/>
                <w:szCs w:val="20"/>
                <w:lang w:val="da-DK"/>
              </w:rPr>
              <w:t xml:space="preserve">Nghiên cứu, xây dựng và ban hành Hướng dẫn phòng ngừa, ứng phó sự cố môi trường do dịch bệnh truyền nhiễm nguy hiểm theo chức năng, nhiệm vụ được giao tại điểm a khoản 7 Điều 111 Nghị định số 08/2022/NĐ-CP ngày 10/01/2022 của Chính phủ. Trường </w:t>
            </w:r>
            <w:r w:rsidRPr="00E24264">
              <w:rPr>
                <w:rFonts w:ascii="Times New Roman" w:eastAsia="Times New Roman" w:hAnsi="Times New Roman" w:cs="Times New Roman"/>
                <w:bCs/>
                <w:iCs/>
                <w:sz w:val="20"/>
                <w:szCs w:val="20"/>
                <w:lang w:val="da-DK"/>
              </w:rPr>
              <w:lastRenderedPageBreak/>
              <w:t>hợp có khó khăn, vướng mắc báo cáo các cấp có thẩm quyền xem xét, quyết định.</w:t>
            </w:r>
          </w:p>
        </w:tc>
        <w:tc>
          <w:tcPr>
            <w:tcW w:w="2126" w:type="dxa"/>
          </w:tcPr>
          <w:p w14:paraId="5B581B10" w14:textId="6A5DAD3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lastRenderedPageBreak/>
              <w:t xml:space="preserve">Kiểm toán </w:t>
            </w:r>
            <w:r w:rsidRPr="00E24264">
              <w:rPr>
                <w:rFonts w:ascii="Times New Roman" w:eastAsia="Times New Roman" w:hAnsi="Times New Roman" w:cs="Times New Roman"/>
                <w:sz w:val="20"/>
                <w:szCs w:val="20"/>
                <w:lang w:val="en-US"/>
              </w:rPr>
              <w:t>c</w:t>
            </w:r>
            <w:r w:rsidRPr="00E24264">
              <w:rPr>
                <w:rFonts w:ascii="Times New Roman" w:eastAsia="Times New Roman" w:hAnsi="Times New Roman" w:cs="Times New Roman"/>
                <w:sz w:val="20"/>
                <w:szCs w:val="20"/>
                <w:lang w:val="vi-VN"/>
              </w:rPr>
              <w:t>ông tác quản lý chất thải y tế các bệnh viện thuộc Bộ Y tế giai đoạn 2022-2024</w:t>
            </w:r>
          </w:p>
        </w:tc>
      </w:tr>
      <w:tr w:rsidR="00A40329" w:rsidRPr="00E24264" w14:paraId="521D2F27" w14:textId="77777777" w:rsidTr="00A40329">
        <w:trPr>
          <w:cantSplit/>
          <w:trHeight w:val="231"/>
        </w:trPr>
        <w:tc>
          <w:tcPr>
            <w:tcW w:w="559" w:type="dxa"/>
          </w:tcPr>
          <w:p w14:paraId="1AA69B7D"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04A7BF04" w14:textId="04AE7E51"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t>UBND thành phố Hà Nội</w:t>
            </w:r>
          </w:p>
        </w:tc>
        <w:tc>
          <w:tcPr>
            <w:tcW w:w="851" w:type="dxa"/>
          </w:tcPr>
          <w:p w14:paraId="32579D33" w14:textId="3530A299"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6366F76" w14:textId="25DA91C3"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Sửa đổi, bổ sung</w:t>
            </w:r>
          </w:p>
        </w:tc>
        <w:tc>
          <w:tcPr>
            <w:tcW w:w="5672" w:type="dxa"/>
          </w:tcPr>
          <w:p w14:paraId="515EFC13" w14:textId="4D16B8EF"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Tại khoản 2 Điều 5 Quyết định số 26/2018/QĐ-UBND ngày 02/11/2018 của UBND thành phố Hà Nội  quy định về nguồn thu giá dịch vụ thu gom, vận chuyển rác thải sinh hoạt của UBND Thành phố  chưa rõ ràng dẫn đến các huyện còn hiểu và vận dụng cụm từ "cân đối chi" khác nhau trong việc ký kết hợp đồng.</w:t>
            </w:r>
          </w:p>
        </w:tc>
        <w:tc>
          <w:tcPr>
            <w:tcW w:w="3827" w:type="dxa"/>
          </w:tcPr>
          <w:p w14:paraId="43F9488F" w14:textId="7BC19385"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t>Sửa đổi khoản 2 Điều 5 Quyết định số 26/2018/QĐ-UBND ngày 02/11/2018 của UBND thành phố Hà Nội để bảo đảm dễ hiểu và phù hợp giữa giá trị với khối lượng thực hiện</w:t>
            </w:r>
            <w:r w:rsidRPr="00E24264">
              <w:rPr>
                <w:rFonts w:ascii="Times New Roman" w:eastAsia="Times New Roman" w:hAnsi="Times New Roman" w:cs="Times New Roman"/>
                <w:sz w:val="20"/>
                <w:szCs w:val="20"/>
                <w:lang w:val="en-US"/>
              </w:rPr>
              <w:t>.</w:t>
            </w:r>
          </w:p>
        </w:tc>
        <w:tc>
          <w:tcPr>
            <w:tcW w:w="2126" w:type="dxa"/>
          </w:tcPr>
          <w:p w14:paraId="4D615FC1" w14:textId="4C454855"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K</w:t>
            </w:r>
            <w:r w:rsidRPr="00E24264">
              <w:rPr>
                <w:rFonts w:ascii="Times New Roman" w:eastAsia="Times New Roman" w:hAnsi="Times New Roman" w:cs="Times New Roman"/>
                <w:sz w:val="20"/>
                <w:szCs w:val="20"/>
                <w:lang w:val="vi-VN"/>
              </w:rPr>
              <w:t>iểm toán hoạt động thu gom, vận chuyển và xử lý chất thải rắn sinh hoạt đô thị giai đoạn 2021-2024 tại thành phố Hà Nội</w:t>
            </w:r>
          </w:p>
        </w:tc>
      </w:tr>
      <w:tr w:rsidR="00A40329" w:rsidRPr="00E24264" w14:paraId="66252BAE" w14:textId="77777777" w:rsidTr="00A40329">
        <w:trPr>
          <w:cantSplit/>
          <w:trHeight w:val="231"/>
        </w:trPr>
        <w:tc>
          <w:tcPr>
            <w:tcW w:w="559" w:type="dxa"/>
          </w:tcPr>
          <w:p w14:paraId="10008367"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7EBDAD27" w14:textId="60C61566"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t>UBND thành phố Hà Nội</w:t>
            </w:r>
          </w:p>
        </w:tc>
        <w:tc>
          <w:tcPr>
            <w:tcW w:w="851" w:type="dxa"/>
          </w:tcPr>
          <w:p w14:paraId="4DA8ADD9" w14:textId="2A2FE29E"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5B224143" w14:textId="0A1584D8"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4C2E829A" w14:textId="769603D8"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de-DE"/>
              </w:rPr>
              <w:t>UBND thành phố chưa ban</w:t>
            </w:r>
            <w:r w:rsidRPr="00E24264">
              <w:rPr>
                <w:rFonts w:ascii="Times New Roman" w:eastAsia="Times New Roman" w:hAnsi="Times New Roman" w:cs="Times New Roman"/>
                <w:bCs/>
                <w:sz w:val="20"/>
                <w:szCs w:val="20"/>
                <w:lang w:val="vi-VN"/>
              </w:rPr>
              <w:t xml:space="preserve"> hành quy định về quản lý chất thải và thực hiện chính sách ưu đãi, hỗ trợ cho hoạt động quản lý chất thải theo quy định tại khoản 7 Điều 72 Luật BVMT 2020</w:t>
            </w:r>
            <w:r w:rsidRPr="00E24264">
              <w:rPr>
                <w:rFonts w:ascii="Times New Roman" w:eastAsia="Times New Roman" w:hAnsi="Times New Roman" w:cs="Times New Roman"/>
                <w:bCs/>
                <w:sz w:val="20"/>
                <w:szCs w:val="20"/>
                <w:lang w:val="en-US"/>
              </w:rPr>
              <w:t>.</w:t>
            </w:r>
          </w:p>
        </w:tc>
        <w:tc>
          <w:tcPr>
            <w:tcW w:w="3827" w:type="dxa"/>
          </w:tcPr>
          <w:p w14:paraId="2F5530ED" w14:textId="741E6A34"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t>Ban hành đầy đủ các quy định quản lý chất thải và thực hiện chính sách ưu đãi, hỗ trợ cho hoạt động quản lý chất thải theo khoản 7 Điều 72 Luật BVMT 2020</w:t>
            </w:r>
            <w:r w:rsidRPr="00E24264">
              <w:rPr>
                <w:rFonts w:ascii="Times New Roman" w:eastAsia="Times New Roman" w:hAnsi="Times New Roman" w:cs="Times New Roman"/>
                <w:sz w:val="20"/>
                <w:szCs w:val="20"/>
                <w:lang w:val="en-US"/>
              </w:rPr>
              <w:t>.</w:t>
            </w:r>
          </w:p>
        </w:tc>
        <w:tc>
          <w:tcPr>
            <w:tcW w:w="2126" w:type="dxa"/>
          </w:tcPr>
          <w:p w14:paraId="7242CBE9" w14:textId="4DDD4D18"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K</w:t>
            </w:r>
            <w:r w:rsidRPr="00E24264">
              <w:rPr>
                <w:rFonts w:ascii="Times New Roman" w:eastAsia="Times New Roman" w:hAnsi="Times New Roman" w:cs="Times New Roman"/>
                <w:sz w:val="20"/>
                <w:szCs w:val="20"/>
                <w:lang w:val="vi-VN"/>
              </w:rPr>
              <w:t>iểm toán hoạt động thu gom, vận chuyển và xử lý chất thải rắn sinh hoạt đô thị giai đoạn 2021-2024 tại thành phố Hà Nội</w:t>
            </w:r>
          </w:p>
        </w:tc>
      </w:tr>
      <w:tr w:rsidR="00A40329" w:rsidRPr="00E24264" w14:paraId="655D9CEB" w14:textId="77777777" w:rsidTr="00A40329">
        <w:trPr>
          <w:cantSplit/>
          <w:trHeight w:val="231"/>
        </w:trPr>
        <w:tc>
          <w:tcPr>
            <w:tcW w:w="559" w:type="dxa"/>
          </w:tcPr>
          <w:p w14:paraId="768DA8F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3396F0EE" w14:textId="58C8E6F5"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vi-VN"/>
              </w:rPr>
              <w:t>UBND thành phố Hà Nội</w:t>
            </w:r>
          </w:p>
        </w:tc>
        <w:tc>
          <w:tcPr>
            <w:tcW w:w="851" w:type="dxa"/>
          </w:tcPr>
          <w:p w14:paraId="40A5AA1C" w14:textId="2E51377F"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2E7BD13C" w14:textId="7CCACB9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5F16B533" w14:textId="0AF15280"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bCs/>
                <w:sz w:val="20"/>
                <w:szCs w:val="20"/>
                <w:lang w:val="de-DE"/>
              </w:rPr>
              <w:t>UBND thành phố Hà Nội chưa ban hành đơn giá đốt chất thải rắn sinh hoạt thu hồi năng lượng để phát điện làm cơ sở thống nhất để quản lý chi phí xử lý chất thải rắn sinh hoạt trên địa bàn  theo quy định tại điểm c khoản 7 Điều 2 Quyết định số 491/QĐ-TTg ngày 07/5/2018 phê duyệt điều chỉnh Chiến lược quốc gia về quản lý tổng hợp chất thải rắn đến năm 2025, tầm nhìn đến năm 2050.</w:t>
            </w:r>
          </w:p>
        </w:tc>
        <w:tc>
          <w:tcPr>
            <w:tcW w:w="3827" w:type="dxa"/>
          </w:tcPr>
          <w:p w14:paraId="05324D88" w14:textId="66F6A8AD"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B</w:t>
            </w:r>
            <w:r w:rsidRPr="00E24264">
              <w:rPr>
                <w:rFonts w:ascii="Times New Roman" w:eastAsia="Times New Roman" w:hAnsi="Times New Roman" w:cs="Times New Roman"/>
                <w:sz w:val="20"/>
                <w:szCs w:val="20"/>
                <w:lang w:val="vi-VN"/>
              </w:rPr>
              <w:t>an hành đơn giá đốt chất thải rắn sinh hoạt thu hồi năng lượng để phát điện</w:t>
            </w:r>
            <w:r w:rsidRPr="00E24264">
              <w:rPr>
                <w:rFonts w:ascii="Times New Roman" w:eastAsia="Times New Roman" w:hAnsi="Times New Roman" w:cs="Times New Roman"/>
                <w:sz w:val="20"/>
                <w:szCs w:val="20"/>
                <w:lang w:val="en-US"/>
              </w:rPr>
              <w:t>.</w:t>
            </w:r>
          </w:p>
        </w:tc>
        <w:tc>
          <w:tcPr>
            <w:tcW w:w="2126" w:type="dxa"/>
          </w:tcPr>
          <w:p w14:paraId="75D51260" w14:textId="1FB1ED2F"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K</w:t>
            </w:r>
            <w:r w:rsidRPr="00E24264">
              <w:rPr>
                <w:rFonts w:ascii="Times New Roman" w:eastAsia="Times New Roman" w:hAnsi="Times New Roman" w:cs="Times New Roman"/>
                <w:sz w:val="20"/>
                <w:szCs w:val="20"/>
                <w:lang w:val="vi-VN"/>
              </w:rPr>
              <w:t>iểm toán hoạt động thu gom, vận chuyển và xử lý chất thải rắn sinh hoạt đô thị giai đoạn 2021-2024 tại thành phố Hà Nội</w:t>
            </w:r>
          </w:p>
        </w:tc>
      </w:tr>
      <w:tr w:rsidR="00A40329" w:rsidRPr="00E24264" w14:paraId="612EC12B" w14:textId="77777777" w:rsidTr="00A40329">
        <w:trPr>
          <w:cantSplit/>
          <w:trHeight w:val="231"/>
        </w:trPr>
        <w:tc>
          <w:tcPr>
            <w:tcW w:w="559" w:type="dxa"/>
          </w:tcPr>
          <w:p w14:paraId="612EC12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123"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C124"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125"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126" w14:textId="59A46E52"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Đối với khoản tiền gửi ngoại tệ tại TCTD khác tại 31/12/2024 của Sở Giao dịch I (176,749.58 USD), theo báo cáo của Sở giao dịch I là khoản lãi phát sinh trên tài khoản đặc biệt/tài khoản tạm ứng (TKTƯ) mở tại các Chi nhánh ngân hàng thương mại để nhận vốn từ WorldBank (WB) và giải ngân cho các dự án ODA. Các dự án này đã kết thúc giải ngân từ năm 2014, tuy nhiên theo báo cáo của VDB do tại Thông tư số 111/2016/TT-BTC ngày 30/6/2016 của Bộ Tài chính chưa có hướng dẫn cụ thể về việc xác định số tiền và cách thức chi trả cho các chủ dự án đối với trường hợp lãi phát sinh trên TKTƯ thuộc về nhiều chủ dự án, nên VDB vẫn chưa chuyển trả số lãi phát sinh nêu trên cho các chủ dự án mà vẫn để trên tài khoản không kỳ hạn tại các NHTM</w:t>
            </w:r>
          </w:p>
        </w:tc>
        <w:tc>
          <w:tcPr>
            <w:tcW w:w="3827" w:type="dxa"/>
          </w:tcPr>
          <w:p w14:paraId="612EC127"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văn bản hướng dẫn việc xử lý đối với phần lãi phát sinh trên TKTƯ để nhận vốn từ WorldBank và giải ngân cho các dự án ODA tại Sở giao dịch I như đã nêu tại Báo cáo kiểm toán này</w:t>
            </w:r>
          </w:p>
        </w:tc>
        <w:tc>
          <w:tcPr>
            <w:tcW w:w="2126" w:type="dxa"/>
          </w:tcPr>
          <w:p w14:paraId="612EC128"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tài chính, các hoạt động liên quan đến quản lý, sử dụng vốn, tài sản nhà nước năm 2024 của Ngân hàng Phát triển Việt Nam (VDB)</w:t>
            </w:r>
          </w:p>
        </w:tc>
      </w:tr>
      <w:tr w:rsidR="00A40329" w:rsidRPr="00E24264" w14:paraId="612EC13F" w14:textId="77777777" w:rsidTr="00A40329">
        <w:trPr>
          <w:cantSplit/>
          <w:trHeight w:val="231"/>
        </w:trPr>
        <w:tc>
          <w:tcPr>
            <w:tcW w:w="559" w:type="dxa"/>
          </w:tcPr>
          <w:p w14:paraId="612EC136"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137"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Bộ Tài chính</w:t>
            </w:r>
          </w:p>
        </w:tc>
        <w:tc>
          <w:tcPr>
            <w:tcW w:w="851" w:type="dxa"/>
          </w:tcPr>
          <w:p w14:paraId="612EC138"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139"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13A"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 xml:space="preserve">Công ty cổ phần PVI đã ký đồng thời hợp đồng đại lý bảo hiểm và hợp đồng dịch vụ với cùng một đối tác (đối tác công nghệ), như Công ty cổ phần Thế giới di động, Công ty cổ phần Di chuyển xanh và thông minh (GSM), Công ty cổ phần Truyền thông đa phương tiện Thủ đô, các ngân hàng... Đây là phương thức kinh doanh khai thác bảo hiểm mới trong những năm gần đây, là kênh bán hàng phi truyền thống, được dựa trên nền tảng công nghệ. Tuy nhiên, mục đích, bản chất và nghĩa vụ của từng loại hợp đồng chưa được tách bạch rõ ràng; một số nội dung và cơ chế thanh toán của hai hợp đồng còn trùng lặp </w:t>
            </w:r>
            <w:r w:rsidRPr="00E24264">
              <w:rPr>
                <w:rFonts w:ascii="Times New Roman" w:eastAsia="Times New Roman" w:hAnsi="Times New Roman" w:cs="Times New Roman"/>
                <w:sz w:val="20"/>
                <w:szCs w:val="20"/>
              </w:rPr>
              <w:lastRenderedPageBreak/>
              <w:t>như việc chào bán sản phẩm, nhập liệu, đối soát và thanh toán định kỳ theo cùng danh sách khách hàng. Như vậy, chi phí hoa hồng đại lý (349.883 triệu đồng) và chi phí dịch vụ (356.301 triệu đồng) có tính chất tương tự nhau, nhằm thúc đẩy hoạt động khai thác bảo hiểm, dẫn đến sự chưa rõ ràng giữa nhiệm vụ của đại lý và nhiệm vụ theo hợp đồng dịch vụ. Hiện tại, Bộ Tài chính chưa có hướng dẫn cụ thể về giá và phí dịch vụ đối với hoạt động này, có thể tiềm ẩn nguy cơ cạnh tranh không lành mạnh về phí bảo hiểm, cũng như rủi ro vượt trần hoa hồng hoặc chi phí thiếu minh bạch.</w:t>
            </w:r>
          </w:p>
        </w:tc>
        <w:tc>
          <w:tcPr>
            <w:tcW w:w="3827" w:type="dxa"/>
          </w:tcPr>
          <w:p w14:paraId="612EC13B"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bookmarkStart w:id="22" w:name="_rvkg92rbdmoi" w:colFirst="0" w:colLast="0"/>
            <w:bookmarkEnd w:id="22"/>
            <w:r w:rsidRPr="00E24264">
              <w:rPr>
                <w:rFonts w:ascii="Times New Roman" w:eastAsia="Times New Roman" w:hAnsi="Times New Roman" w:cs="Times New Roman"/>
                <w:sz w:val="20"/>
                <w:szCs w:val="20"/>
              </w:rPr>
              <w:lastRenderedPageBreak/>
              <w:t xml:space="preserve">Nghiên cứu, ban hành cơ chế, quy định nhằm tăng cường giám sát về chi phí dịch vụ có tính chất tương tự như hoa hồng đại lý với các đối tác công nghệ để khai thác bảo hiểm qua kênh số (Digital Insurance/InsureTech) nhằm hạn chế cạnh tranh không lành mạnh về phí bảo hiểm và các khoản chi phí hoa hồng, chi hỗ trợ đại lý giữa các doanh nghiệp bảo hiểm theo hướng tách bạch rõ hợp đồng đại lý và </w:t>
            </w:r>
            <w:r w:rsidRPr="00E24264">
              <w:rPr>
                <w:rFonts w:ascii="Times New Roman" w:eastAsia="Times New Roman" w:hAnsi="Times New Roman" w:cs="Times New Roman"/>
                <w:sz w:val="20"/>
                <w:szCs w:val="20"/>
              </w:rPr>
              <w:lastRenderedPageBreak/>
              <w:t>hợp đồng dịch vụ với các đối tác công nghệ, phân định rõ nội dung công việc, mục đích và phương thức thanh toán; đồng thời, xem xét xây dựng khung giá/định mức chi phí dịch vụ trong khai thác bảo hiểm qua kênh số và áp dụng thống nhất cho thị trường bảo hiểm</w:t>
            </w:r>
          </w:p>
        </w:tc>
        <w:tc>
          <w:tcPr>
            <w:tcW w:w="2126" w:type="dxa"/>
          </w:tcPr>
          <w:p w14:paraId="612EC13C"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lastRenderedPageBreak/>
              <w:t>Báo cáo kiểm toán Công ty CP PVI năm 2024</w:t>
            </w:r>
          </w:p>
        </w:tc>
      </w:tr>
      <w:tr w:rsidR="00A40329" w:rsidRPr="00E24264" w14:paraId="612EC149" w14:textId="77777777" w:rsidTr="00A40329">
        <w:trPr>
          <w:cantSplit/>
          <w:trHeight w:val="231"/>
        </w:trPr>
        <w:tc>
          <w:tcPr>
            <w:tcW w:w="559" w:type="dxa"/>
          </w:tcPr>
          <w:p w14:paraId="612EC140"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612EC141"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UBND tỉnh Đồng Nai</w:t>
            </w:r>
          </w:p>
        </w:tc>
        <w:tc>
          <w:tcPr>
            <w:tcW w:w="851" w:type="dxa"/>
          </w:tcPr>
          <w:p w14:paraId="612EC142"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612EC143" w14:textId="7777777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Ban hành mới</w:t>
            </w:r>
          </w:p>
        </w:tc>
        <w:tc>
          <w:tcPr>
            <w:tcW w:w="5672" w:type="dxa"/>
          </w:tcPr>
          <w:p w14:paraId="612EC144"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Công ty BBCC thực hiện xác định sản lượng đá khai thác và đá thành phẩm theo đơn vị tấn (được cân tại các trạm cân), trong khi bảng giá tính thuế tài nguyên do UBND tỉnh Đồng Nai ban hành lại quy định theo đơn vị m³. Để thực hiện nghĩa vụ thuế tài nguyên, Công ty đã quy đổi từ tấn sang m³ theo tỷ trọng do Công ty tự xác định theo từng loại đá tại từng mỏ, không có báo cáo, tài liệu cụ thể về việc xác định này (được áp dụng từ năm 2011 đến hiện nay). Như vậy, để đảm bảo việc thực hiện nghĩa vụ thuế đúng quy định, UBND tỉnh Đồng Nai cần xem xét, ban hành hệ số quy đổi chính thức từ tấn sang m³ theo thẩm quyền được quy định tại tiết b điểm 5.1 khoản 5 Điều 6 Thông tư số 152/2015/TT-BTC ngày 02/10/2015 của Bộ Tài chính hướng dẫn về thuế tài nguyên</w:t>
            </w:r>
          </w:p>
        </w:tc>
        <w:tc>
          <w:tcPr>
            <w:tcW w:w="3827" w:type="dxa"/>
          </w:tcPr>
          <w:p w14:paraId="612EC145" w14:textId="77777777"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Xây dựng, ban hành hệ số quy đổi từ tấn sang m³ cho các loại đá xây dựng trên địa bàn Tỉnh theo thẩm quyền được quy định tại tiết b điểm 5.1 khoản 5 Điều 6 Thông tư 152/2015/TT-BTC của Bộ Tài chính, để có cơ sở pháp lý và thống nhất trong tỉnh về việc quy đổi đơn vị tấn sang m³ trong tính thuế tài nguyên. Khi xây dựng hệ số quy đổi, xem xét tham khảo ý kiến của cơ quan có thẩm quyền liên quan khi cần thiết</w:t>
            </w:r>
          </w:p>
        </w:tc>
        <w:tc>
          <w:tcPr>
            <w:tcW w:w="2126" w:type="dxa"/>
          </w:tcPr>
          <w:p w14:paraId="612EC146" w14:textId="77777777"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Kiểm toán Báo cáo tài chính, các hoạt động liên quan đến quản lý, sử dụng vốn, tài sản nhà nước năm 2024 của Tổng công ty Công nghiệp Thực phẩm Đồng Nai – MTV Công ty TNHH</w:t>
            </w:r>
          </w:p>
        </w:tc>
      </w:tr>
      <w:tr w:rsidR="00A40329" w:rsidRPr="00E24264" w14:paraId="2DD2977B" w14:textId="77777777" w:rsidTr="00A40329">
        <w:trPr>
          <w:cantSplit/>
          <w:trHeight w:val="231"/>
        </w:trPr>
        <w:tc>
          <w:tcPr>
            <w:tcW w:w="559" w:type="dxa"/>
          </w:tcPr>
          <w:p w14:paraId="58F02682" w14:textId="77777777" w:rsidR="00A40329" w:rsidRPr="00E24264" w:rsidRDefault="00A40329" w:rsidP="00DA6D22">
            <w:pPr>
              <w:numPr>
                <w:ilvl w:val="0"/>
                <w:numId w:val="7"/>
              </w:num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993" w:type="dxa"/>
          </w:tcPr>
          <w:p w14:paraId="10023221" w14:textId="1275C94F"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Ngân hàng Nhà nước Việt Nam</w:t>
            </w:r>
          </w:p>
        </w:tc>
        <w:tc>
          <w:tcPr>
            <w:tcW w:w="851" w:type="dxa"/>
          </w:tcPr>
          <w:p w14:paraId="3F49DADA" w14:textId="4BB88DE7"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Văn bản khác</w:t>
            </w:r>
          </w:p>
        </w:tc>
        <w:tc>
          <w:tcPr>
            <w:tcW w:w="851" w:type="dxa"/>
          </w:tcPr>
          <w:p w14:paraId="0F5DC640" w14:textId="0228A539" w:rsidR="00A40329" w:rsidRPr="00E24264" w:rsidRDefault="00A40329" w:rsidP="00DB0AA4">
            <w:pPr>
              <w:spacing w:after="0" w:line="240" w:lineRule="auto"/>
              <w:jc w:val="center"/>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rPr>
              <w:t>Xây dựng mới</w:t>
            </w:r>
          </w:p>
        </w:tc>
        <w:tc>
          <w:tcPr>
            <w:tcW w:w="5672" w:type="dxa"/>
          </w:tcPr>
          <w:p w14:paraId="1B8B2BB1" w14:textId="6C572810"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NHNN chưa hoàn thành trình ban hành, banh hành văn bản hướng dẫn cơ chế, chính sách quy định về giới hạn, tỷ lệ bảo đảm an toàn; quy định về phân loại tài sản có và cam kết ngoại bảng trong hoạt động của VDB theo hướng phù hợp với tính chất hoạt động của VDB trong giai đoạn cơ cấu lại</w:t>
            </w:r>
          </w:p>
        </w:tc>
        <w:tc>
          <w:tcPr>
            <w:tcW w:w="3827" w:type="dxa"/>
          </w:tcPr>
          <w:p w14:paraId="4517DFBF" w14:textId="66A8DC08" w:rsidR="00A40329" w:rsidRPr="00E24264" w:rsidRDefault="00A40329" w:rsidP="00DB0AA4">
            <w:pPr>
              <w:spacing w:after="0" w:line="240" w:lineRule="auto"/>
              <w:ind w:hanging="35"/>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Khẩn trương rà soát, hoàn thiện đồng bộ cơ chế, chính sách quy định về giới hạn, tỷ lệ bảo đảm an toàn; quy định về phân loại tài sản có và cam kết ngoại bảng trong hoạt động của VDB theo hướng phù hợp với tính chất hoạt động của VDB trong giai đoạn cơ cấu lại.</w:t>
            </w:r>
          </w:p>
        </w:tc>
        <w:tc>
          <w:tcPr>
            <w:tcW w:w="2126" w:type="dxa"/>
          </w:tcPr>
          <w:p w14:paraId="3FEF6FF0" w14:textId="770E172A" w:rsidR="00A40329" w:rsidRPr="00E24264" w:rsidRDefault="00A40329" w:rsidP="00DB0AA4">
            <w:pPr>
              <w:spacing w:after="0" w:line="240" w:lineRule="auto"/>
              <w:jc w:val="both"/>
              <w:rPr>
                <w:rFonts w:ascii="Times New Roman" w:eastAsia="Times New Roman" w:hAnsi="Times New Roman" w:cs="Times New Roman"/>
                <w:sz w:val="20"/>
                <w:szCs w:val="20"/>
              </w:rPr>
            </w:pPr>
            <w:r w:rsidRPr="00E24264">
              <w:rPr>
                <w:rFonts w:ascii="Times New Roman" w:eastAsia="Times New Roman" w:hAnsi="Times New Roman" w:cs="Times New Roman"/>
                <w:sz w:val="20"/>
                <w:szCs w:val="20"/>
                <w:lang w:val="en-US"/>
              </w:rPr>
              <w:t>Kiểm toán báo cáo tài chính, các hoạt động liên quan đến quản lý, sử dụng vốn, tài sản nhà nước năm 2024 của Ngân hàng Phát triển Việt Nam</w:t>
            </w:r>
          </w:p>
        </w:tc>
      </w:tr>
    </w:tbl>
    <w:p w14:paraId="612EC14A" w14:textId="77777777" w:rsidR="00045D9A" w:rsidRPr="00E24264" w:rsidRDefault="00045D9A">
      <w:pPr>
        <w:spacing w:before="40" w:after="40" w:line="240" w:lineRule="auto"/>
        <w:rPr>
          <w:rFonts w:ascii="Times New Roman" w:eastAsia="Times New Roman" w:hAnsi="Times New Roman" w:cs="Times New Roman"/>
        </w:rPr>
      </w:pPr>
      <w:bookmarkStart w:id="23" w:name="_ptnxfm3xoz8t" w:colFirst="0" w:colLast="0"/>
      <w:bookmarkEnd w:id="23"/>
    </w:p>
    <w:sectPr w:rsidR="00045D9A" w:rsidRPr="00E24264">
      <w:headerReference w:type="default" r:id="rId8"/>
      <w:pgSz w:w="16838" w:h="11906" w:orient="landscape"/>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5F4D7" w14:textId="77777777" w:rsidR="00691D7F" w:rsidRDefault="00691D7F">
      <w:pPr>
        <w:spacing w:after="0" w:line="240" w:lineRule="auto"/>
      </w:pPr>
      <w:r>
        <w:separator/>
      </w:r>
    </w:p>
  </w:endnote>
  <w:endnote w:type="continuationSeparator" w:id="0">
    <w:p w14:paraId="19FDB472" w14:textId="77777777" w:rsidR="00691D7F" w:rsidRDefault="00691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6DF8CF-24CF-4836-B376-0FE4836E7A7A}"/>
    <w:embedBold r:id="rId2" w:fontKey="{9B3672FB-F4E9-44DE-9A6E-D230D9F6B0D5}"/>
  </w:font>
  <w:font w:name="Georgia">
    <w:panose1 w:val="02040502050405020303"/>
    <w:charset w:val="00"/>
    <w:family w:val="roman"/>
    <w:pitch w:val="variable"/>
    <w:sig w:usb0="00000287" w:usb1="00000000" w:usb2="00000000" w:usb3="00000000" w:csb0="0000009F" w:csb1="00000000"/>
    <w:embedItalic r:id="rId3" w:fontKey="{AA255A6B-4A2C-4921-A881-EDA665F948D7}"/>
  </w:font>
  <w:font w:name="Segoe UI">
    <w:panose1 w:val="020B0502040204020203"/>
    <w:charset w:val="00"/>
    <w:family w:val="swiss"/>
    <w:pitch w:val="variable"/>
    <w:sig w:usb0="E4002EFF" w:usb1="C000E47F" w:usb2="00000009" w:usb3="00000000" w:csb0="000001FF" w:csb1="00000000"/>
    <w:embedRegular r:id="rId4" w:fontKey="{0C196112-8486-46A0-9A25-2B69393100F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5" w:fontKey="{1292FE4E-AC8F-43C6-B87E-F52484F108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19997" w14:textId="77777777" w:rsidR="00691D7F" w:rsidRDefault="00691D7F">
      <w:pPr>
        <w:spacing w:after="0" w:line="240" w:lineRule="auto"/>
      </w:pPr>
      <w:r>
        <w:separator/>
      </w:r>
    </w:p>
  </w:footnote>
  <w:footnote w:type="continuationSeparator" w:id="0">
    <w:p w14:paraId="34586044" w14:textId="77777777" w:rsidR="00691D7F" w:rsidRDefault="00691D7F">
      <w:pPr>
        <w:spacing w:after="0" w:line="240" w:lineRule="auto"/>
      </w:pPr>
      <w:r>
        <w:continuationSeparator/>
      </w:r>
    </w:p>
  </w:footnote>
  <w:footnote w:id="1">
    <w:p w14:paraId="6433BF9C" w14:textId="77777777" w:rsidR="00434DCB" w:rsidRPr="0070098B" w:rsidRDefault="00434DCB" w:rsidP="008E2C30">
      <w:pPr>
        <w:shd w:val="clear" w:color="auto" w:fill="FFFFFF"/>
        <w:spacing w:after="0" w:line="240" w:lineRule="auto"/>
        <w:jc w:val="both"/>
        <w:rPr>
          <w:rFonts w:ascii="Times New Roman" w:hAnsi="Times New Roman"/>
          <w:bCs/>
          <w:color w:val="000000" w:themeColor="text1"/>
          <w:sz w:val="20"/>
          <w:szCs w:val="20"/>
          <w:lang w:val="nl-NL" w:eastAsia="x-none"/>
        </w:rPr>
      </w:pPr>
      <w:r w:rsidRPr="0070098B">
        <w:rPr>
          <w:rStyle w:val="FootnoteReference"/>
          <w:color w:val="000000" w:themeColor="text1"/>
        </w:rPr>
        <w:footnoteRef/>
      </w:r>
      <w:r w:rsidRPr="0070098B">
        <w:rPr>
          <w:color w:val="000000" w:themeColor="text1"/>
        </w:rPr>
        <w:t xml:space="preserve"> </w:t>
      </w:r>
      <w:r w:rsidRPr="0070098B">
        <w:rPr>
          <w:rFonts w:ascii="Times New Roman" w:hAnsi="Times New Roman"/>
          <w:bCs/>
          <w:color w:val="000000" w:themeColor="text1"/>
          <w:sz w:val="20"/>
          <w:szCs w:val="20"/>
          <w:lang w:val="nl-NL" w:eastAsia="x-none"/>
        </w:rPr>
        <w:t>Điều 13:</w:t>
      </w:r>
      <w:r w:rsidRPr="0070098B">
        <w:rPr>
          <w:rFonts w:ascii="Times New Roman" w:hAnsi="Times New Roman"/>
          <w:color w:val="000000" w:themeColor="text1"/>
          <w:sz w:val="20"/>
          <w:szCs w:val="20"/>
        </w:rPr>
        <w:t>“</w:t>
      </w:r>
      <w:r w:rsidRPr="0070098B">
        <w:rPr>
          <w:rFonts w:ascii="Times New Roman" w:hAnsi="Times New Roman"/>
          <w:color w:val="000000" w:themeColor="text1"/>
          <w:sz w:val="20"/>
          <w:szCs w:val="20"/>
          <w:lang w:val="vi-VN"/>
        </w:rPr>
        <w:t>1. Trong phạm vi cấp huyện nơi đặt Văn phòng Thừa phát lại không quá 65.000 đồng/việc (bao gồm cả thuế giá trị gia tăng).</w:t>
      </w:r>
    </w:p>
    <w:p w14:paraId="304AAF58" w14:textId="77777777" w:rsidR="00434DCB" w:rsidRPr="00F76798" w:rsidRDefault="00434DCB" w:rsidP="008E2C30">
      <w:pPr>
        <w:shd w:val="clear" w:color="auto" w:fill="FFFFFF"/>
        <w:spacing w:after="0" w:line="240" w:lineRule="auto"/>
        <w:jc w:val="both"/>
        <w:rPr>
          <w:rFonts w:ascii="Times New Roman" w:hAnsi="Times New Roman"/>
          <w:sz w:val="20"/>
          <w:szCs w:val="20"/>
          <w:lang w:val="vi-VN"/>
        </w:rPr>
      </w:pPr>
      <w:r w:rsidRPr="00F76798">
        <w:rPr>
          <w:rFonts w:ascii="Times New Roman" w:hAnsi="Times New Roman"/>
          <w:sz w:val="20"/>
          <w:szCs w:val="20"/>
          <w:lang w:val="vi-VN"/>
        </w:rPr>
        <w:t>2. Ngoài phạm vi cấp huyện nơi đặt Văn phòng Thừa phát nhưng trong địa bàn cấp tỉnh không quá 130.000 đồng/việc (bao gồm cả thuế giá trị gia tăng)”.</w:t>
      </w:r>
    </w:p>
  </w:footnote>
  <w:footnote w:id="2">
    <w:p w14:paraId="612EC155" w14:textId="77777777" w:rsidR="00434DCB" w:rsidRDefault="00434DC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Tại điểm đỗ xe phố Nguyễn Công Hoan, phường Ngọc Khánh, quận Ba Đình, Hà Nội và phố Trần Nhật Duật, phường Đồng Xuân, quận Hoàn Kiếm thuộc Dự án đầu tư xây dựng công trình thí điểm lắp dựng giàn thép đỗ xe trên địa bàn thành phố Hà Nội.</w:t>
      </w:r>
    </w:p>
  </w:footnote>
  <w:footnote w:id="3">
    <w:p w14:paraId="612EC156" w14:textId="77777777" w:rsidR="00434DCB" w:rsidRDefault="00434DC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Quyết định số 6171/QĐ-UBND ngày 05/9/2017 của UBND thành phố Hà Nội quy định chi hỗ trợ từ nguồn "chi đầu tư và hỗ trợ doanh nghiệp".</w:t>
      </w:r>
    </w:p>
  </w:footnote>
  <w:footnote w:id="4">
    <w:p w14:paraId="612EC157" w14:textId="77777777" w:rsidR="00434DCB" w:rsidRDefault="00434DC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Quyết định số 6171/QĐ-UBND căn cứ vào Nghị quyết số 03/2013/NQ-HĐND ngày 12/7/2013 của HĐND thành phố Hà Nội về ưu tiên phát triển hệ thống vận tải hành khách công cộng khối lượng lớn; khuyến khích đầu tư xây dựng, khai thác bến xe, bãi đỗ xe ô tô và các phương tiện cơ giới khác; áp dụng công nghệ cao trong quản lý, điều hành hệ thống giao thông vận tải (</w:t>
      </w:r>
      <w:r>
        <w:rPr>
          <w:rFonts w:ascii="Times New Roman" w:eastAsia="Times New Roman" w:hAnsi="Times New Roman" w:cs="Times New Roman"/>
          <w:i/>
          <w:iCs/>
          <w:color w:val="000000"/>
          <w:sz w:val="20"/>
          <w:szCs w:val="20"/>
        </w:rPr>
        <w:t>chính sách hỗ trợ được tiếp tục thực hiện theo quy định tại khoản 1 Điều 8 Nghị quyết số 07/2019/NQ-HĐND ngày 10/7/2019 của HĐND Thành phố về việc ưu tiên phát triển hệ thống vận tải hành khách công cộng khối lượng lớn; khuyến khích đầu tư xây dựng, khai thác bến xe, bãi đỗ xe ô tô và các phương tiện cơ giới khác; áp dụng công nghệ cao trong quản lý, điều hành hệ thống giao thông vận tải</w:t>
      </w:r>
      <w:r>
        <w:rPr>
          <w:rFonts w:ascii="Times New Roman" w:eastAsia="Times New Roman" w:hAnsi="Times New Roman" w:cs="Times New Roman"/>
          <w:color w:val="000000"/>
          <w:sz w:val="20"/>
          <w:szCs w:val="20"/>
        </w:rPr>
        <w:t>). Quy định tại Quyết định số 6171/QĐ-UBND và khoản 1 Điều 8 Nghị quyết số 07/2019/NQ-HĐND phù hợp với quy định về lĩnh vực đầu tư công tại khoản 3 Điều 5 Luật Đầu tư công 2014 (</w:t>
      </w:r>
      <w:r>
        <w:rPr>
          <w:rFonts w:ascii="Times New Roman" w:eastAsia="Times New Roman" w:hAnsi="Times New Roman" w:cs="Times New Roman"/>
          <w:i/>
          <w:iCs/>
          <w:color w:val="000000"/>
          <w:sz w:val="20"/>
          <w:szCs w:val="20"/>
        </w:rPr>
        <w:t>hỗ trợ hoạt động cung cấp sản phẩm, dịch vụ công ích thuộc lĩnh vực của đầu tư công</w:t>
      </w:r>
      <w:r>
        <w:rPr>
          <w:rFonts w:ascii="Times New Roman" w:eastAsia="Times New Roman" w:hAnsi="Times New Roman" w:cs="Times New Roman"/>
          <w:color w:val="000000"/>
          <w:sz w:val="20"/>
          <w:szCs w:val="20"/>
        </w:rPr>
        <w:t>) nhưng không phù hợp với quy định về đối tượng đầu tư công tại Điều 5 Luật Đầu tư công 2019  và Điều 5 Luật Đầu tư công 2024 (</w:t>
      </w:r>
      <w:r>
        <w:rPr>
          <w:rFonts w:ascii="Times New Roman" w:eastAsia="Times New Roman" w:hAnsi="Times New Roman" w:cs="Times New Roman"/>
          <w:i/>
          <w:iCs/>
          <w:color w:val="000000"/>
          <w:sz w:val="20"/>
          <w:szCs w:val="20"/>
        </w:rPr>
        <w:t>chi hỗ trợ hoạt động cho doanh nghiệp không thuộc đối tượng đầu tư công</w:t>
      </w:r>
      <w:r>
        <w:rPr>
          <w:rFonts w:ascii="Times New Roman" w:eastAsia="Times New Roman" w:hAnsi="Times New Roman" w:cs="Times New Roman"/>
          <w:color w:val="000000"/>
          <w:sz w:val="20"/>
          <w:szCs w:val="20"/>
        </w:rPr>
        <w:t>).</w:t>
      </w:r>
    </w:p>
  </w:footnote>
  <w:footnote w:id="5">
    <w:p w14:paraId="2EE7DF58" w14:textId="77777777" w:rsidR="00434DCB" w:rsidRPr="00926F16" w:rsidRDefault="00434DCB" w:rsidP="00E27E53">
      <w:pPr>
        <w:pStyle w:val="FootnoteText"/>
        <w:spacing w:before="60"/>
        <w:jc w:val="both"/>
        <w:rPr>
          <w:rFonts w:ascii="Times New Roman" w:hAnsi="Times New Roman"/>
          <w:lang w:val="en-US"/>
        </w:rPr>
      </w:pPr>
      <w:r w:rsidRPr="001F28AF">
        <w:rPr>
          <w:rStyle w:val="FootnoteReference"/>
          <w:rFonts w:ascii="Times New Roman" w:hAnsi="Times New Roman"/>
        </w:rPr>
        <w:footnoteRef/>
      </w:r>
      <w:r w:rsidRPr="001F28AF">
        <w:rPr>
          <w:rFonts w:ascii="Times New Roman" w:hAnsi="Times New Roman"/>
        </w:rPr>
        <w:t xml:space="preserve"> </w:t>
      </w:r>
      <w:r w:rsidRPr="001F28AF">
        <w:rPr>
          <w:rFonts w:ascii="Times New Roman" w:hAnsi="Times New Roman"/>
          <w:i/>
          <w:lang w:val="en-US"/>
        </w:rPr>
        <w:t>“</w:t>
      </w:r>
      <w:r w:rsidRPr="001F28AF">
        <w:rPr>
          <w:rFonts w:ascii="Times New Roman" w:hAnsi="Times New Roman"/>
          <w:i/>
        </w:rPr>
        <w:t xml:space="preserve">Điều 2. Nhiệm vụ và quyền hạn: Ban Quản lý thực hiện các nhiệm vụ, quyền hạn sau đây: </w:t>
      </w:r>
      <w:r w:rsidRPr="001F28AF">
        <w:rPr>
          <w:rFonts w:ascii="Times New Roman" w:hAnsi="Times New Roman"/>
          <w:i/>
          <w:lang w:val="en-US"/>
        </w:rPr>
        <w:t>9. Về quản lý, sử dụng đất đai: d) Quyết định giao lại đất không thu tiền sử dụng đất, cho thuê đất; Thu hồi đất đã giao lại, cho thuê theo quy định của pháp luật.”</w:t>
      </w:r>
    </w:p>
  </w:footnote>
  <w:footnote w:id="6">
    <w:p w14:paraId="07FEC50C" w14:textId="77777777" w:rsidR="00434DCB" w:rsidRDefault="00434DCB" w:rsidP="00767459">
      <w:pPr>
        <w:pStyle w:val="FootnoteText"/>
        <w:ind w:firstLine="709"/>
        <w:jc w:val="both"/>
        <w:rPr>
          <w:rFonts w:ascii="Times New Roman" w:hAnsi="Times New Roman"/>
          <w:lang w:val="vi-VN"/>
        </w:rPr>
      </w:pPr>
      <w:r>
        <w:rPr>
          <w:rStyle w:val="FootnoteReference"/>
          <w:rFonts w:ascii="Times New Roman" w:hAnsi="Times New Roman"/>
        </w:rPr>
        <w:footnoteRef/>
      </w:r>
      <w:r>
        <w:rPr>
          <w:rFonts w:ascii="Times New Roman" w:hAnsi="Times New Roman"/>
        </w:rPr>
        <w:t xml:space="preserve"> Mở</w:t>
      </w:r>
      <w:r>
        <w:rPr>
          <w:rFonts w:ascii="Times New Roman" w:hAnsi="Times New Roman"/>
          <w:lang w:val="vi-VN"/>
        </w:rPr>
        <w:t xml:space="preserve"> rộng đối tượng: doanh nghiệp, hợp tác xã, tổ chức, cá nhân</w:t>
      </w:r>
    </w:p>
  </w:footnote>
  <w:footnote w:id="7">
    <w:p w14:paraId="612EC158"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0"/>
          <w:szCs w:val="20"/>
          <w:vertAlign w:val="superscript"/>
        </w:rPr>
        <w:t xml:space="preserve"> </w:t>
      </w:r>
      <w:r>
        <w:rPr>
          <w:rFonts w:ascii="Times New Roman" w:eastAsia="Times New Roman" w:hAnsi="Times New Roman" w:cs="Times New Roman"/>
          <w:color w:val="000000"/>
          <w:sz w:val="20"/>
          <w:szCs w:val="20"/>
        </w:rPr>
        <w:t xml:space="preserve">Đào tạo thạc sĩ ngành quản lý công (phối hợp với Trường ĐH An Giang). </w:t>
      </w:r>
    </w:p>
  </w:footnote>
  <w:footnote w:id="8">
    <w:p w14:paraId="612EC159"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Điều 2 của Quyết định 91/QĐ-ĐHQG về Nguồn kinh phí mua sắm tập trung "Nguồn kinh phí từ quỹ phát triển hoạt động sự nghiệp của đơn vị sự nghiệp công lập do Nhà nước đảm bảo chi thường xuyên và tự đảm bảo một phần chi thường xuyên".</w:t>
      </w:r>
    </w:p>
  </w:footnote>
  <w:footnote w:id="9">
    <w:p w14:paraId="612EC15A"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Quyết định số 1727/QĐ-ĐHQG ngày 12/12/2023 của Giám đốc ĐHQG-HCM quy định tiêu chuẩn, định mức sử dụng xe ô tô tại ĐHQG-HCM.</w:t>
      </w:r>
    </w:p>
  </w:footnote>
  <w:footnote w:id="10">
    <w:p w14:paraId="612EC15B"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Văn phòng 02 xe phục vụ công tác chung và các Ban tham mưu 01 xe phục vụ công tác chung; Trung tâm Sở hữu trí tuệ và Chuyển giao công nghệ 01 xe phục vụ công tác chung; Tạp chí Phát triển Khoa học và Công nghệ 01 xe phục vụ công tác chung.</w:t>
      </w:r>
    </w:p>
  </w:footnote>
  <w:footnote w:id="11">
    <w:p w14:paraId="612EC15C"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Quyết định 170/QĐ-ĐHQG ngày 29/3/2017 và Quyết định số 1220/QĐ-ĐHQG ngày 1/11/2017 sửa đổi bổ sung một số điều quy định của Quyết định số 170/QĐ-ĐHQG và Công văn số 1033/ĐHQG-KHTC ngày 1/7/2021 và Quyết định số 1001/QĐ-ĐHQG ngày 4/8/2024 (thay thế Công văn số 1033/ĐHQG-KHTC).</w:t>
      </w:r>
    </w:p>
  </w:footnote>
  <w:footnote w:id="12">
    <w:p w14:paraId="612EC15D"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Các trường, viện thành viên, phân hiệu hằng tháng thực hiện nộp toàn bộ nguồn thu học phí về tài khoản của ĐHQGHCM. Trung tâm ký túc xá thực hiện nộp toàn bộ nguồn thu hoạt động sản xuất kinh doanh về ĐHQGHCM. Đối với các đơn vị còn lại, hàng năm báo cáo nguồn thu hoạt động sản xuất kinh doanh, không nộp nguồn thu về tài khoản của ĐHQGHCM.</w:t>
      </w:r>
    </w:p>
  </w:footnote>
  <w:footnote w:id="13">
    <w:p w14:paraId="612EC15E"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Công văn số 1033/ĐHQG-KHTC ngày 1/7/2021 và Quyết định số 1001/QĐ-ĐHQG ngày 4/8/2024 (thay thế Công văn số 1033/ĐHQG-KHTC). </w:t>
      </w:r>
    </w:p>
  </w:footnote>
  <w:footnote w:id="14">
    <w:p w14:paraId="612EC15F" w14:textId="77777777" w:rsidR="00434DCB" w:rsidRDefault="00434D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ĐHQGHCM mới có Công văn số 546/ĐHQG-KHTC ngày 23/3/2020 về hướng dẫn xây dựng, thẩm định, ban hành định mức kinh tế kỹ thuật về giá dịch vụ đào tạo cấp cơ sở. </w:t>
      </w:r>
    </w:p>
  </w:footnote>
  <w:footnote w:id="15">
    <w:p w14:paraId="54AD1706" w14:textId="77777777" w:rsidR="00434DCB" w:rsidRPr="00F76798" w:rsidRDefault="00434DCB" w:rsidP="00F058AF">
      <w:pPr>
        <w:pStyle w:val="FootnoteText"/>
        <w:jc w:val="both"/>
        <w:rPr>
          <w:rFonts w:ascii="Times New Roman" w:hAnsi="Times New Roman"/>
          <w:spacing w:val="-4"/>
          <w:lang w:val="en-US"/>
        </w:rPr>
      </w:pPr>
      <w:r w:rsidRPr="00F76798">
        <w:rPr>
          <w:rStyle w:val="FootnoteReference"/>
          <w:rFonts w:ascii="Times New Roman" w:eastAsia="Calibri" w:hAnsi="Times New Roman"/>
          <w:spacing w:val="-4"/>
        </w:rPr>
        <w:footnoteRef/>
      </w:r>
      <w:r w:rsidRPr="00F76798">
        <w:rPr>
          <w:rFonts w:ascii="Times New Roman" w:hAnsi="Times New Roman"/>
          <w:spacing w:val="-4"/>
        </w:rPr>
        <w:t xml:space="preserve"> (i) Dịch vụ </w:t>
      </w:r>
      <w:r w:rsidRPr="00F76798">
        <w:rPr>
          <w:rFonts w:ascii="Times New Roman" w:hAnsi="Times New Roman"/>
          <w:iCs/>
          <w:spacing w:val="-4"/>
          <w:lang w:val="nl-NL"/>
        </w:rPr>
        <w:t xml:space="preserve">tuyển dụng, giới thiệu và quản lý lao động Việt Nam làm việc cho tổ chức, cá nhân nước ngoài tại Việt Nam; (ii) Dịch vụ về nhà, đất đối ngoại theo hình thức hỗ tương và hình thức giao sử dụng nhà, đất không phải trả tiền. </w:t>
      </w:r>
    </w:p>
  </w:footnote>
  <w:footnote w:id="16">
    <w:p w14:paraId="0F591B2C" w14:textId="77777777" w:rsidR="00434DCB" w:rsidRPr="00F76798" w:rsidRDefault="00434DCB" w:rsidP="00F058AF">
      <w:pPr>
        <w:pStyle w:val="FootnoteText"/>
        <w:jc w:val="both"/>
        <w:rPr>
          <w:rFonts w:ascii="Times New Roman" w:hAnsi="Times New Roman"/>
        </w:rPr>
      </w:pPr>
      <w:r w:rsidRPr="00F76798">
        <w:rPr>
          <w:rStyle w:val="FootnoteReference"/>
          <w:rFonts w:ascii="Times New Roman" w:eastAsia="Calibri" w:hAnsi="Times New Roman"/>
        </w:rPr>
        <w:footnoteRef/>
      </w:r>
      <w:r w:rsidRPr="00F76798">
        <w:rPr>
          <w:rFonts w:ascii="Times New Roman" w:hAnsi="Times New Roman"/>
        </w:rPr>
        <w:t xml:space="preserve"> (i) Diện tích chuyên dùng tại trụ sở làm việc </w:t>
      </w:r>
      <w:r w:rsidRPr="00F76798">
        <w:rPr>
          <w:rFonts w:ascii="Times New Roman" w:hAnsi="Times New Roman"/>
          <w:i/>
        </w:rPr>
        <w:t>(Phòng hội đàm, phòng trưng bày, phòng truyền thống, phòng tưởng niệm và diện tích chuyên dùng khác)</w:t>
      </w:r>
      <w:r w:rsidRPr="00F76798">
        <w:rPr>
          <w:rFonts w:ascii="Times New Roman" w:hAnsi="Times New Roman"/>
        </w:rPr>
        <w:t xml:space="preserve">; (ii) Diện tích chuyên dùng bố trí trong nhà riêng Đại sứ </w:t>
      </w:r>
      <w:r w:rsidRPr="00F76798">
        <w:rPr>
          <w:rFonts w:ascii="Times New Roman" w:hAnsi="Times New Roman"/>
          <w:i/>
        </w:rPr>
        <w:t>(Diện tích phục vụ đón tiếp khách quốc tế, tổ chức các hoạt động lễ tân, khánh tiết)</w:t>
      </w:r>
      <w:r w:rsidRPr="00F76798">
        <w:rPr>
          <w:rFonts w:ascii="Times New Roman" w:hAnsi="Times New Roman"/>
        </w:rPr>
        <w:t xml:space="preserve">. </w:t>
      </w:r>
    </w:p>
  </w:footnote>
  <w:footnote w:id="17">
    <w:p w14:paraId="12B16805" w14:textId="77777777" w:rsidR="00434DCB" w:rsidRPr="00F76798" w:rsidRDefault="00434DCB" w:rsidP="00F058AF">
      <w:pPr>
        <w:pStyle w:val="FootnoteText"/>
        <w:jc w:val="both"/>
        <w:rPr>
          <w:rFonts w:ascii="Times New Roman" w:hAnsi="Times New Roman"/>
          <w:bCs/>
          <w:i/>
          <w:spacing w:val="-4"/>
          <w:lang w:val="nl-NL"/>
        </w:rPr>
      </w:pPr>
      <w:r w:rsidRPr="00F76798">
        <w:rPr>
          <w:rStyle w:val="FootnoteReference"/>
          <w:rFonts w:ascii="Times New Roman" w:eastAsia="Calibri" w:hAnsi="Times New Roman"/>
        </w:rPr>
        <w:footnoteRef/>
      </w:r>
      <w:r w:rsidRPr="00F76798">
        <w:rPr>
          <w:rFonts w:ascii="Times New Roman" w:hAnsi="Times New Roman"/>
        </w:rPr>
        <w:t xml:space="preserve"> </w:t>
      </w:r>
      <w:r w:rsidRPr="00F76798">
        <w:rPr>
          <w:rFonts w:ascii="Times New Roman" w:hAnsi="Times New Roman"/>
          <w:lang w:val="en-US"/>
        </w:rPr>
        <w:t xml:space="preserve">Ví dụ tại </w:t>
      </w:r>
      <w:r w:rsidRPr="00F76798">
        <w:rPr>
          <w:rFonts w:ascii="Times New Roman" w:hAnsi="Times New Roman"/>
          <w:bCs/>
          <w:lang w:val="nl-NL"/>
        </w:rPr>
        <w:t xml:space="preserve">Quyết định 608/QĐ-TANDTC-KHTC ngày 31/12/2021 của Chánh án TAND tối cao chưa bổ sung một số nội dung theo Luật Đầu tư công số 58/2024/QH15 như sau: </w:t>
      </w:r>
      <w:r w:rsidRPr="00F76798">
        <w:rPr>
          <w:rFonts w:ascii="Times New Roman" w:hAnsi="Times New Roman"/>
          <w:lang w:val="en-US"/>
        </w:rPr>
        <w:t>(1) Các trường hợp điều chỉnh, dừng chủ trương đầu tư tại khoản 2 Điều 37</w:t>
      </w:r>
      <w:r w:rsidRPr="00F76798">
        <w:rPr>
          <w:rFonts w:ascii="Times New Roman" w:hAnsi="Times New Roman"/>
          <w:bCs/>
          <w:lang w:val="nl-NL"/>
        </w:rPr>
        <w:t xml:space="preserve">: </w:t>
      </w:r>
      <w:bookmarkStart w:id="13" w:name="khoan_2_37"/>
      <w:r w:rsidRPr="00F76798">
        <w:rPr>
          <w:rFonts w:ascii="Times New Roman" w:hAnsi="Times New Roman"/>
          <w:bCs/>
          <w:i/>
          <w:lang w:val="nl-NL"/>
        </w:rPr>
        <w:t>“Việc điều chỉnh chủ trương đầu tư chương trình, dự án thực hiện trong trường hợp chương trình, dự án phát sinh thay đổi về mục tiêu, địa điểm, vượt mức vốn đầu tư công, vượt mức vốn đầu tư công của ngân sách cấp trên, vượt tổng mức đầu tư chương trình, dự án so với nội dung tại chủ trương đầu tư chương trình, dự án</w:t>
      </w:r>
      <w:bookmarkEnd w:id="13"/>
      <w:r w:rsidRPr="00F76798">
        <w:rPr>
          <w:rFonts w:ascii="Times New Roman" w:hAnsi="Times New Roman"/>
          <w:bCs/>
          <w:i/>
          <w:lang w:val="nl-NL"/>
        </w:rPr>
        <w:t>”;</w:t>
      </w:r>
      <w:r w:rsidRPr="00F76798">
        <w:rPr>
          <w:rFonts w:ascii="Times New Roman" w:hAnsi="Times New Roman"/>
          <w:bCs/>
          <w:lang w:val="nl-NL"/>
        </w:rPr>
        <w:t xml:space="preserve"> (2) Quy định về các trường hợp điều chỉnh chương trình, dự án tại khoản 5 Điều 46</w:t>
      </w:r>
      <w:r w:rsidRPr="00F76798">
        <w:rPr>
          <w:rFonts w:ascii="Times New Roman" w:hAnsi="Times New Roman"/>
          <w:bCs/>
          <w:i/>
          <w:spacing w:val="-4"/>
          <w:lang w:val="nl-NL"/>
        </w:rPr>
        <w:t>“</w:t>
      </w:r>
      <w:bookmarkStart w:id="14" w:name="khoan_5_46"/>
      <w:r w:rsidRPr="00F76798">
        <w:rPr>
          <w:rFonts w:ascii="Times New Roman" w:hAnsi="Times New Roman"/>
          <w:bCs/>
          <w:i/>
          <w:spacing w:val="-4"/>
          <w:lang w:val="nl-NL"/>
        </w:rPr>
        <w:t>Trường hợp thay đổi một trong các nội dung về mục tiêu, địa điểm, vượt mức vốn đầu tư công, vượt mức vốn đầu tư công của ngân sách cấp trên, vượt tổng mức đầu tư dự án so với tổng mức đầu tư đã được cấp có thẩm quyền quyết định chủ trương đầu tư, chương trình, dự án phải thực hiện trình tự, thủ tục quyết định điều chỉnh chủ trương đầu tư trước khi cấp có thẩm quyền quyết định điều chỉnh chương trình, dự án</w:t>
      </w:r>
      <w:bookmarkEnd w:id="14"/>
      <w:r w:rsidRPr="00F76798">
        <w:rPr>
          <w:rFonts w:ascii="Times New Roman" w:hAnsi="Times New Roman"/>
          <w:bCs/>
          <w:i/>
          <w:spacing w:val="-4"/>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C14F" w14:textId="7A0C73F5" w:rsidR="00434DCB" w:rsidRDefault="00434DC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12EC150" w14:textId="77777777" w:rsidR="00434DCB" w:rsidRDefault="00434DC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46504"/>
    <w:multiLevelType w:val="multilevel"/>
    <w:tmpl w:val="15DE6734"/>
    <w:lvl w:ilvl="0">
      <w:start w:val="1"/>
      <w:numFmt w:val="decimal"/>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DEC028A"/>
    <w:multiLevelType w:val="multilevel"/>
    <w:tmpl w:val="1A6A954C"/>
    <w:lvl w:ilvl="0">
      <w:start w:val="1"/>
      <w:numFmt w:val="decimal"/>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2AC3501"/>
    <w:multiLevelType w:val="multilevel"/>
    <w:tmpl w:val="911670AE"/>
    <w:lvl w:ilvl="0">
      <w:start w:val="1"/>
      <w:numFmt w:val="decimal"/>
      <w:lvlText w:val="%1"/>
      <w:lvlJc w:val="right"/>
      <w:pPr>
        <w:ind w:left="624" w:hanging="284"/>
      </w:pPr>
      <w:rPr>
        <w:rFonts w:hint="default"/>
      </w:rPr>
    </w:lvl>
    <w:lvl w:ilvl="1">
      <w:start w:val="1"/>
      <w:numFmt w:val="lowerLetter"/>
      <w:lvlText w:val="%2."/>
      <w:lvlJc w:val="left"/>
      <w:pPr>
        <w:ind w:left="1336" w:hanging="360"/>
      </w:pPr>
      <w:rPr>
        <w:rFonts w:hint="default"/>
      </w:rPr>
    </w:lvl>
    <w:lvl w:ilvl="2">
      <w:start w:val="1"/>
      <w:numFmt w:val="lowerRoman"/>
      <w:lvlText w:val="%3."/>
      <w:lvlJc w:val="right"/>
      <w:pPr>
        <w:ind w:left="2056" w:hanging="180"/>
      </w:pPr>
      <w:rPr>
        <w:rFonts w:hint="default"/>
      </w:rPr>
    </w:lvl>
    <w:lvl w:ilvl="3">
      <w:start w:val="1"/>
      <w:numFmt w:val="decimal"/>
      <w:lvlText w:val="%4."/>
      <w:lvlJc w:val="left"/>
      <w:pPr>
        <w:ind w:left="2776" w:hanging="360"/>
      </w:pPr>
      <w:rPr>
        <w:rFonts w:hint="default"/>
      </w:rPr>
    </w:lvl>
    <w:lvl w:ilvl="4">
      <w:start w:val="1"/>
      <w:numFmt w:val="lowerLetter"/>
      <w:lvlText w:val="%5."/>
      <w:lvlJc w:val="left"/>
      <w:pPr>
        <w:ind w:left="3496" w:hanging="360"/>
      </w:pPr>
      <w:rPr>
        <w:rFonts w:hint="default"/>
      </w:rPr>
    </w:lvl>
    <w:lvl w:ilvl="5">
      <w:start w:val="1"/>
      <w:numFmt w:val="lowerRoman"/>
      <w:lvlText w:val="%6."/>
      <w:lvlJc w:val="right"/>
      <w:pPr>
        <w:ind w:left="4216" w:hanging="180"/>
      </w:pPr>
      <w:rPr>
        <w:rFonts w:hint="default"/>
      </w:rPr>
    </w:lvl>
    <w:lvl w:ilvl="6">
      <w:start w:val="1"/>
      <w:numFmt w:val="decimal"/>
      <w:lvlText w:val="%7."/>
      <w:lvlJc w:val="left"/>
      <w:pPr>
        <w:ind w:left="4936" w:hanging="360"/>
      </w:pPr>
      <w:rPr>
        <w:rFonts w:hint="default"/>
      </w:rPr>
    </w:lvl>
    <w:lvl w:ilvl="7">
      <w:start w:val="1"/>
      <w:numFmt w:val="lowerLetter"/>
      <w:lvlText w:val="%8."/>
      <w:lvlJc w:val="left"/>
      <w:pPr>
        <w:ind w:left="5656" w:hanging="360"/>
      </w:pPr>
      <w:rPr>
        <w:rFonts w:hint="default"/>
      </w:rPr>
    </w:lvl>
    <w:lvl w:ilvl="8">
      <w:start w:val="1"/>
      <w:numFmt w:val="lowerRoman"/>
      <w:lvlText w:val="%9."/>
      <w:lvlJc w:val="right"/>
      <w:pPr>
        <w:ind w:left="6376" w:hanging="180"/>
      </w:pPr>
      <w:rPr>
        <w:rFonts w:hint="default"/>
      </w:rPr>
    </w:lvl>
  </w:abstractNum>
  <w:abstractNum w:abstractNumId="3" w15:restartNumberingAfterBreak="0">
    <w:nsid w:val="464471E1"/>
    <w:multiLevelType w:val="multilevel"/>
    <w:tmpl w:val="911670AE"/>
    <w:lvl w:ilvl="0">
      <w:start w:val="1"/>
      <w:numFmt w:val="decimal"/>
      <w:lvlText w:val="%1"/>
      <w:lvlJc w:val="right"/>
      <w:pPr>
        <w:ind w:left="624" w:hanging="284"/>
      </w:pPr>
      <w:rPr>
        <w:rFonts w:hint="default"/>
      </w:rPr>
    </w:lvl>
    <w:lvl w:ilvl="1">
      <w:start w:val="1"/>
      <w:numFmt w:val="lowerLetter"/>
      <w:lvlText w:val="%2."/>
      <w:lvlJc w:val="left"/>
      <w:pPr>
        <w:ind w:left="1336" w:hanging="360"/>
      </w:pPr>
      <w:rPr>
        <w:rFonts w:hint="default"/>
      </w:rPr>
    </w:lvl>
    <w:lvl w:ilvl="2">
      <w:start w:val="1"/>
      <w:numFmt w:val="lowerRoman"/>
      <w:lvlText w:val="%3."/>
      <w:lvlJc w:val="right"/>
      <w:pPr>
        <w:ind w:left="2056" w:hanging="180"/>
      </w:pPr>
      <w:rPr>
        <w:rFonts w:hint="default"/>
      </w:rPr>
    </w:lvl>
    <w:lvl w:ilvl="3">
      <w:start w:val="1"/>
      <w:numFmt w:val="decimal"/>
      <w:lvlText w:val="%4."/>
      <w:lvlJc w:val="left"/>
      <w:pPr>
        <w:ind w:left="2776" w:hanging="360"/>
      </w:pPr>
      <w:rPr>
        <w:rFonts w:hint="default"/>
      </w:rPr>
    </w:lvl>
    <w:lvl w:ilvl="4">
      <w:start w:val="1"/>
      <w:numFmt w:val="lowerLetter"/>
      <w:lvlText w:val="%5."/>
      <w:lvlJc w:val="left"/>
      <w:pPr>
        <w:ind w:left="3496" w:hanging="360"/>
      </w:pPr>
      <w:rPr>
        <w:rFonts w:hint="default"/>
      </w:rPr>
    </w:lvl>
    <w:lvl w:ilvl="5">
      <w:start w:val="1"/>
      <w:numFmt w:val="lowerRoman"/>
      <w:lvlText w:val="%6."/>
      <w:lvlJc w:val="right"/>
      <w:pPr>
        <w:ind w:left="4216" w:hanging="180"/>
      </w:pPr>
      <w:rPr>
        <w:rFonts w:hint="default"/>
      </w:rPr>
    </w:lvl>
    <w:lvl w:ilvl="6">
      <w:start w:val="1"/>
      <w:numFmt w:val="decimal"/>
      <w:lvlText w:val="%7."/>
      <w:lvlJc w:val="left"/>
      <w:pPr>
        <w:ind w:left="4936" w:hanging="360"/>
      </w:pPr>
      <w:rPr>
        <w:rFonts w:hint="default"/>
      </w:rPr>
    </w:lvl>
    <w:lvl w:ilvl="7">
      <w:start w:val="1"/>
      <w:numFmt w:val="lowerLetter"/>
      <w:lvlText w:val="%8."/>
      <w:lvlJc w:val="left"/>
      <w:pPr>
        <w:ind w:left="5656" w:hanging="360"/>
      </w:pPr>
      <w:rPr>
        <w:rFonts w:hint="default"/>
      </w:rPr>
    </w:lvl>
    <w:lvl w:ilvl="8">
      <w:start w:val="1"/>
      <w:numFmt w:val="lowerRoman"/>
      <w:lvlText w:val="%9."/>
      <w:lvlJc w:val="right"/>
      <w:pPr>
        <w:ind w:left="6376" w:hanging="180"/>
      </w:pPr>
      <w:rPr>
        <w:rFonts w:hint="default"/>
      </w:rPr>
    </w:lvl>
  </w:abstractNum>
  <w:abstractNum w:abstractNumId="4" w15:restartNumberingAfterBreak="0">
    <w:nsid w:val="58E337A1"/>
    <w:multiLevelType w:val="multilevel"/>
    <w:tmpl w:val="9390A1C4"/>
    <w:lvl w:ilvl="0">
      <w:start w:val="1"/>
      <w:numFmt w:val="decimal"/>
      <w:lvlText w:val="%1"/>
      <w:lvlJc w:val="right"/>
      <w:pPr>
        <w:ind w:left="616" w:hanging="360"/>
      </w:pPr>
    </w:lvl>
    <w:lvl w:ilvl="1">
      <w:start w:val="1"/>
      <w:numFmt w:val="lowerLetter"/>
      <w:lvlText w:val="%2."/>
      <w:lvlJc w:val="left"/>
      <w:pPr>
        <w:ind w:left="1336" w:hanging="360"/>
      </w:pPr>
    </w:lvl>
    <w:lvl w:ilvl="2">
      <w:start w:val="1"/>
      <w:numFmt w:val="lowerRoman"/>
      <w:lvlText w:val="%3."/>
      <w:lvlJc w:val="right"/>
      <w:pPr>
        <w:ind w:left="2056" w:hanging="180"/>
      </w:pPr>
    </w:lvl>
    <w:lvl w:ilvl="3">
      <w:start w:val="1"/>
      <w:numFmt w:val="decimal"/>
      <w:lvlText w:val="%4."/>
      <w:lvlJc w:val="left"/>
      <w:pPr>
        <w:ind w:left="2776" w:hanging="360"/>
      </w:pPr>
    </w:lvl>
    <w:lvl w:ilvl="4">
      <w:start w:val="1"/>
      <w:numFmt w:val="lowerLetter"/>
      <w:lvlText w:val="%5."/>
      <w:lvlJc w:val="left"/>
      <w:pPr>
        <w:ind w:left="3496" w:hanging="360"/>
      </w:pPr>
    </w:lvl>
    <w:lvl w:ilvl="5">
      <w:start w:val="1"/>
      <w:numFmt w:val="lowerRoman"/>
      <w:lvlText w:val="%6."/>
      <w:lvlJc w:val="right"/>
      <w:pPr>
        <w:ind w:left="4216" w:hanging="180"/>
      </w:pPr>
    </w:lvl>
    <w:lvl w:ilvl="6">
      <w:start w:val="1"/>
      <w:numFmt w:val="decimal"/>
      <w:lvlText w:val="%7."/>
      <w:lvlJc w:val="left"/>
      <w:pPr>
        <w:ind w:left="4936" w:hanging="360"/>
      </w:pPr>
    </w:lvl>
    <w:lvl w:ilvl="7">
      <w:start w:val="1"/>
      <w:numFmt w:val="lowerLetter"/>
      <w:lvlText w:val="%8."/>
      <w:lvlJc w:val="left"/>
      <w:pPr>
        <w:ind w:left="5656" w:hanging="360"/>
      </w:pPr>
    </w:lvl>
    <w:lvl w:ilvl="8">
      <w:start w:val="1"/>
      <w:numFmt w:val="lowerRoman"/>
      <w:lvlText w:val="%9."/>
      <w:lvlJc w:val="right"/>
      <w:pPr>
        <w:ind w:left="6376" w:hanging="180"/>
      </w:pPr>
    </w:lvl>
  </w:abstractNum>
  <w:abstractNum w:abstractNumId="5" w15:restartNumberingAfterBreak="0">
    <w:nsid w:val="78E94AD1"/>
    <w:multiLevelType w:val="multilevel"/>
    <w:tmpl w:val="D1E86B86"/>
    <w:lvl w:ilvl="0">
      <w:start w:val="1"/>
      <w:numFmt w:val="decimal"/>
      <w:lvlText w:val="%1"/>
      <w:lvlJc w:val="right"/>
      <w:pPr>
        <w:ind w:left="616" w:hanging="360"/>
      </w:pPr>
    </w:lvl>
    <w:lvl w:ilvl="1">
      <w:start w:val="1"/>
      <w:numFmt w:val="lowerLetter"/>
      <w:lvlText w:val="%2."/>
      <w:lvlJc w:val="left"/>
      <w:pPr>
        <w:ind w:left="1336" w:hanging="360"/>
      </w:pPr>
    </w:lvl>
    <w:lvl w:ilvl="2">
      <w:start w:val="1"/>
      <w:numFmt w:val="lowerRoman"/>
      <w:lvlText w:val="%3."/>
      <w:lvlJc w:val="right"/>
      <w:pPr>
        <w:ind w:left="2056" w:hanging="180"/>
      </w:pPr>
    </w:lvl>
    <w:lvl w:ilvl="3">
      <w:start w:val="1"/>
      <w:numFmt w:val="decimal"/>
      <w:lvlText w:val="%4."/>
      <w:lvlJc w:val="left"/>
      <w:pPr>
        <w:ind w:left="2776" w:hanging="360"/>
      </w:pPr>
    </w:lvl>
    <w:lvl w:ilvl="4">
      <w:start w:val="1"/>
      <w:numFmt w:val="lowerLetter"/>
      <w:lvlText w:val="%5."/>
      <w:lvlJc w:val="left"/>
      <w:pPr>
        <w:ind w:left="3496" w:hanging="360"/>
      </w:pPr>
    </w:lvl>
    <w:lvl w:ilvl="5">
      <w:start w:val="1"/>
      <w:numFmt w:val="lowerRoman"/>
      <w:lvlText w:val="%6."/>
      <w:lvlJc w:val="right"/>
      <w:pPr>
        <w:ind w:left="4216" w:hanging="180"/>
      </w:pPr>
    </w:lvl>
    <w:lvl w:ilvl="6">
      <w:start w:val="1"/>
      <w:numFmt w:val="decimal"/>
      <w:lvlText w:val="%7."/>
      <w:lvlJc w:val="left"/>
      <w:pPr>
        <w:ind w:left="4936" w:hanging="360"/>
      </w:pPr>
    </w:lvl>
    <w:lvl w:ilvl="7">
      <w:start w:val="1"/>
      <w:numFmt w:val="lowerLetter"/>
      <w:lvlText w:val="%8."/>
      <w:lvlJc w:val="left"/>
      <w:pPr>
        <w:ind w:left="5656" w:hanging="360"/>
      </w:pPr>
    </w:lvl>
    <w:lvl w:ilvl="8">
      <w:start w:val="1"/>
      <w:numFmt w:val="lowerRoman"/>
      <w:lvlText w:val="%9."/>
      <w:lvlJc w:val="right"/>
      <w:pPr>
        <w:ind w:left="6376" w:hanging="180"/>
      </w:pPr>
    </w:lvl>
  </w:abstractNum>
  <w:abstractNum w:abstractNumId="6" w15:restartNumberingAfterBreak="0">
    <w:nsid w:val="7C947FE1"/>
    <w:multiLevelType w:val="multilevel"/>
    <w:tmpl w:val="911670AE"/>
    <w:lvl w:ilvl="0">
      <w:start w:val="1"/>
      <w:numFmt w:val="decimal"/>
      <w:lvlText w:val="%1"/>
      <w:lvlJc w:val="right"/>
      <w:pPr>
        <w:ind w:left="624" w:hanging="284"/>
      </w:pPr>
      <w:rPr>
        <w:rFonts w:hint="default"/>
      </w:rPr>
    </w:lvl>
    <w:lvl w:ilvl="1">
      <w:start w:val="1"/>
      <w:numFmt w:val="lowerLetter"/>
      <w:lvlText w:val="%2."/>
      <w:lvlJc w:val="left"/>
      <w:pPr>
        <w:ind w:left="1336" w:hanging="360"/>
      </w:pPr>
      <w:rPr>
        <w:rFonts w:hint="default"/>
      </w:rPr>
    </w:lvl>
    <w:lvl w:ilvl="2">
      <w:start w:val="1"/>
      <w:numFmt w:val="lowerRoman"/>
      <w:lvlText w:val="%3."/>
      <w:lvlJc w:val="right"/>
      <w:pPr>
        <w:ind w:left="2056" w:hanging="180"/>
      </w:pPr>
      <w:rPr>
        <w:rFonts w:hint="default"/>
      </w:rPr>
    </w:lvl>
    <w:lvl w:ilvl="3">
      <w:start w:val="1"/>
      <w:numFmt w:val="decimal"/>
      <w:lvlText w:val="%4."/>
      <w:lvlJc w:val="left"/>
      <w:pPr>
        <w:ind w:left="2776" w:hanging="360"/>
      </w:pPr>
      <w:rPr>
        <w:rFonts w:hint="default"/>
      </w:rPr>
    </w:lvl>
    <w:lvl w:ilvl="4">
      <w:start w:val="1"/>
      <w:numFmt w:val="lowerLetter"/>
      <w:lvlText w:val="%5."/>
      <w:lvlJc w:val="left"/>
      <w:pPr>
        <w:ind w:left="3496" w:hanging="360"/>
      </w:pPr>
      <w:rPr>
        <w:rFonts w:hint="default"/>
      </w:rPr>
    </w:lvl>
    <w:lvl w:ilvl="5">
      <w:start w:val="1"/>
      <w:numFmt w:val="lowerRoman"/>
      <w:lvlText w:val="%6."/>
      <w:lvlJc w:val="right"/>
      <w:pPr>
        <w:ind w:left="4216" w:hanging="180"/>
      </w:pPr>
      <w:rPr>
        <w:rFonts w:hint="default"/>
      </w:rPr>
    </w:lvl>
    <w:lvl w:ilvl="6">
      <w:start w:val="1"/>
      <w:numFmt w:val="decimal"/>
      <w:lvlText w:val="%7."/>
      <w:lvlJc w:val="left"/>
      <w:pPr>
        <w:ind w:left="4936" w:hanging="360"/>
      </w:pPr>
      <w:rPr>
        <w:rFonts w:hint="default"/>
      </w:rPr>
    </w:lvl>
    <w:lvl w:ilvl="7">
      <w:start w:val="1"/>
      <w:numFmt w:val="lowerLetter"/>
      <w:lvlText w:val="%8."/>
      <w:lvlJc w:val="left"/>
      <w:pPr>
        <w:ind w:left="5656" w:hanging="360"/>
      </w:pPr>
      <w:rPr>
        <w:rFonts w:hint="default"/>
      </w:rPr>
    </w:lvl>
    <w:lvl w:ilvl="8">
      <w:start w:val="1"/>
      <w:numFmt w:val="lowerRoman"/>
      <w:lvlText w:val="%9."/>
      <w:lvlJc w:val="right"/>
      <w:pPr>
        <w:ind w:left="6376" w:hanging="180"/>
      </w:pPr>
      <w:rPr>
        <w:rFonts w:hint="default"/>
      </w:rPr>
    </w:lvl>
  </w:abstractNum>
  <w:num w:numId="1">
    <w:abstractNumId w:val="4"/>
  </w:num>
  <w:num w:numId="2">
    <w:abstractNumId w:val="2"/>
  </w:num>
  <w:num w:numId="3">
    <w:abstractNumId w:val="1"/>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D9A"/>
    <w:rsid w:val="00045D9A"/>
    <w:rsid w:val="000551EC"/>
    <w:rsid w:val="0006172C"/>
    <w:rsid w:val="00097E86"/>
    <w:rsid w:val="000C0316"/>
    <w:rsid w:val="000E708F"/>
    <w:rsid w:val="000F4D7D"/>
    <w:rsid w:val="00147009"/>
    <w:rsid w:val="00154DEB"/>
    <w:rsid w:val="00154E9E"/>
    <w:rsid w:val="00166549"/>
    <w:rsid w:val="001E0652"/>
    <w:rsid w:val="001E44B5"/>
    <w:rsid w:val="001F28AF"/>
    <w:rsid w:val="0021223B"/>
    <w:rsid w:val="002157DB"/>
    <w:rsid w:val="002250FF"/>
    <w:rsid w:val="002755BC"/>
    <w:rsid w:val="002933FE"/>
    <w:rsid w:val="002A654D"/>
    <w:rsid w:val="002B00D7"/>
    <w:rsid w:val="002C1143"/>
    <w:rsid w:val="002C5C91"/>
    <w:rsid w:val="00304B78"/>
    <w:rsid w:val="00305D84"/>
    <w:rsid w:val="00327046"/>
    <w:rsid w:val="00327E10"/>
    <w:rsid w:val="0038172F"/>
    <w:rsid w:val="0038575C"/>
    <w:rsid w:val="003957D3"/>
    <w:rsid w:val="003A2767"/>
    <w:rsid w:val="00420D42"/>
    <w:rsid w:val="00434DCB"/>
    <w:rsid w:val="0048050B"/>
    <w:rsid w:val="00490EA0"/>
    <w:rsid w:val="00490ED1"/>
    <w:rsid w:val="00497A67"/>
    <w:rsid w:val="00530359"/>
    <w:rsid w:val="005372C6"/>
    <w:rsid w:val="005A1A9F"/>
    <w:rsid w:val="005E4B27"/>
    <w:rsid w:val="005F2ACF"/>
    <w:rsid w:val="0061384F"/>
    <w:rsid w:val="00684F76"/>
    <w:rsid w:val="00691D7F"/>
    <w:rsid w:val="006C10D0"/>
    <w:rsid w:val="006D1748"/>
    <w:rsid w:val="006E30DD"/>
    <w:rsid w:val="006E440A"/>
    <w:rsid w:val="006E7A32"/>
    <w:rsid w:val="006F315E"/>
    <w:rsid w:val="00721A08"/>
    <w:rsid w:val="007264F9"/>
    <w:rsid w:val="0074090D"/>
    <w:rsid w:val="00767459"/>
    <w:rsid w:val="007C6AB4"/>
    <w:rsid w:val="00846A7F"/>
    <w:rsid w:val="00850E2F"/>
    <w:rsid w:val="008700A2"/>
    <w:rsid w:val="008E2C30"/>
    <w:rsid w:val="008E492D"/>
    <w:rsid w:val="008F0589"/>
    <w:rsid w:val="0091795B"/>
    <w:rsid w:val="00926F16"/>
    <w:rsid w:val="00942841"/>
    <w:rsid w:val="0094499D"/>
    <w:rsid w:val="00953E1D"/>
    <w:rsid w:val="00994136"/>
    <w:rsid w:val="009C2235"/>
    <w:rsid w:val="009E762B"/>
    <w:rsid w:val="00A06277"/>
    <w:rsid w:val="00A303F3"/>
    <w:rsid w:val="00A40329"/>
    <w:rsid w:val="00A63BE1"/>
    <w:rsid w:val="00A8142C"/>
    <w:rsid w:val="00A86EC0"/>
    <w:rsid w:val="00AE49C3"/>
    <w:rsid w:val="00B422AC"/>
    <w:rsid w:val="00B71C04"/>
    <w:rsid w:val="00B819CC"/>
    <w:rsid w:val="00BA56C5"/>
    <w:rsid w:val="00BB1156"/>
    <w:rsid w:val="00C01C89"/>
    <w:rsid w:val="00C229DD"/>
    <w:rsid w:val="00C66717"/>
    <w:rsid w:val="00CA36A5"/>
    <w:rsid w:val="00CA528B"/>
    <w:rsid w:val="00CD0CA6"/>
    <w:rsid w:val="00CE5D14"/>
    <w:rsid w:val="00CF2003"/>
    <w:rsid w:val="00D67426"/>
    <w:rsid w:val="00D81319"/>
    <w:rsid w:val="00D95E4F"/>
    <w:rsid w:val="00D967C5"/>
    <w:rsid w:val="00DA6D22"/>
    <w:rsid w:val="00DB0AA4"/>
    <w:rsid w:val="00DC49BD"/>
    <w:rsid w:val="00E24264"/>
    <w:rsid w:val="00E27E53"/>
    <w:rsid w:val="00E426D5"/>
    <w:rsid w:val="00E573A2"/>
    <w:rsid w:val="00E759B1"/>
    <w:rsid w:val="00E91821"/>
    <w:rsid w:val="00E959C0"/>
    <w:rsid w:val="00EA01CE"/>
    <w:rsid w:val="00EC1FAD"/>
    <w:rsid w:val="00EE6368"/>
    <w:rsid w:val="00F00A24"/>
    <w:rsid w:val="00F058AF"/>
    <w:rsid w:val="00F07BE2"/>
    <w:rsid w:val="00F13A0E"/>
    <w:rsid w:val="00F17088"/>
    <w:rsid w:val="00F245E6"/>
    <w:rsid w:val="00F879D6"/>
    <w:rsid w:val="00F87CA5"/>
    <w:rsid w:val="00FA2810"/>
    <w:rsid w:val="00FE323E"/>
    <w:rsid w:val="00FF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EBBB4"/>
  <w15:docId w15:val="{A34428A2-5E98-4D66-8770-CC11E2C8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CA5"/>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line="240" w:lineRule="auto"/>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E6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368"/>
    <w:rPr>
      <w:rFonts w:ascii="Segoe UI" w:hAnsi="Segoe UI" w:cs="Segoe UI"/>
      <w:sz w:val="18"/>
      <w:szCs w:val="18"/>
    </w:rPr>
  </w:style>
  <w:style w:type="paragraph" w:styleId="Revision">
    <w:name w:val="Revision"/>
    <w:hidden/>
    <w:uiPriority w:val="99"/>
    <w:semiHidden/>
    <w:rsid w:val="00EE6368"/>
    <w:pPr>
      <w:spacing w:after="0" w:line="240" w:lineRule="auto"/>
    </w:pPr>
  </w:style>
  <w:style w:type="paragraph" w:customStyle="1" w:styleId="Default">
    <w:name w:val="Default"/>
    <w:qFormat/>
    <w:rsid w:val="00A0627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FootnoteReference">
    <w:name w:val="footnote reference"/>
    <w:aliases w:val="Footnote,Footnote text,ftref,BearingPoint,16 Point,Superscript 6 Point,fr,Footnote Text1,f,Ref,de nota al pie,Footnote + Arial,10 pt,Black,Footnote Text11,BVI fnr,f1,Footnote text + 13 pt,(NECG) Footnote Reference, BVI fnr,BVI,f11"/>
    <w:link w:val="FootnoteChar"/>
    <w:qFormat/>
    <w:rsid w:val="008E2C30"/>
    <w:rPr>
      <w:vertAlign w:val="superscript"/>
    </w:rPr>
  </w:style>
  <w:style w:type="paragraph" w:customStyle="1" w:styleId="FootnoteChar">
    <w:name w:val="Footnote Char"/>
    <w:aliases w:val="Footnote text Char,ftref Char,BearingPoint Char,16 Point Char,Superscript 6 Point Char,fr Char,Footnote Text1 Char,f Char1,Ref Char,de nota al pie Char,Footnote + Arial Char,10 pt Char,Black Char,Footnote Text11 Char"/>
    <w:basedOn w:val="Normal"/>
    <w:next w:val="Normal"/>
    <w:link w:val="FootnoteReference"/>
    <w:qFormat/>
    <w:rsid w:val="008E2C30"/>
    <w:pPr>
      <w:spacing w:line="240" w:lineRule="exact"/>
    </w:pPr>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w:basedOn w:val="Normal"/>
    <w:link w:val="FootnoteTextChar"/>
    <w:uiPriority w:val="99"/>
    <w:qFormat/>
    <w:rsid w:val="00CA36A5"/>
    <w:pPr>
      <w:spacing w:after="0" w:line="240" w:lineRule="auto"/>
    </w:pPr>
    <w:rPr>
      <w:rFonts w:ascii="Arial" w:eastAsia="Times New Roman" w:hAnsi="Arial" w:cs="Times New Roman"/>
      <w:sz w:val="20"/>
      <w:szCs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qFormat/>
    <w:rsid w:val="00CA36A5"/>
    <w:rPr>
      <w:rFonts w:ascii="Arial" w:eastAsia="Times New Roman" w:hAnsi="Arial" w:cs="Times New Roman"/>
      <w:sz w:val="20"/>
      <w:szCs w:val="20"/>
      <w:lang w:val="x-none" w:eastAsia="x-none"/>
    </w:rPr>
  </w:style>
  <w:style w:type="paragraph" w:customStyle="1" w:styleId="ftrefCharCharChar1Char">
    <w:name w:val="ftref Char Char Char1 Char"/>
    <w:aliases w:val="(NECG) Footnote Reference Char Char Char1 Char,Fußnotenzeichen DISS Char Char Char1 Char,16 Point Char Char Char1 Char,Superscript 6 Point Char Char Char Char,fr Char Char Char Char,Footnote Char Char Char Char"/>
    <w:basedOn w:val="Normal"/>
    <w:uiPriority w:val="99"/>
    <w:qFormat/>
    <w:rsid w:val="006E440A"/>
    <w:pPr>
      <w:spacing w:line="240" w:lineRule="exact"/>
    </w:pPr>
    <w:rPr>
      <w:vertAlign w:val="superscript"/>
    </w:rPr>
  </w:style>
  <w:style w:type="paragraph" w:styleId="CommentSubject">
    <w:name w:val="annotation subject"/>
    <w:basedOn w:val="CommentText"/>
    <w:next w:val="CommentText"/>
    <w:link w:val="CommentSubjectChar"/>
    <w:uiPriority w:val="99"/>
    <w:semiHidden/>
    <w:unhideWhenUsed/>
    <w:rsid w:val="00994136"/>
    <w:rPr>
      <w:b/>
      <w:bCs/>
    </w:rPr>
  </w:style>
  <w:style w:type="character" w:customStyle="1" w:styleId="CommentSubjectChar">
    <w:name w:val="Comment Subject Char"/>
    <w:basedOn w:val="CommentTextChar"/>
    <w:link w:val="CommentSubject"/>
    <w:uiPriority w:val="99"/>
    <w:semiHidden/>
    <w:rsid w:val="00994136"/>
    <w:rPr>
      <w:b/>
      <w:bCs/>
      <w:sz w:val="20"/>
      <w:szCs w:val="20"/>
    </w:rPr>
  </w:style>
  <w:style w:type="paragraph" w:styleId="ListParagraph">
    <w:name w:val="List Paragraph"/>
    <w:basedOn w:val="Normal"/>
    <w:uiPriority w:val="34"/>
    <w:qFormat/>
    <w:rsid w:val="00DA6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64303">
      <w:bodyDiv w:val="1"/>
      <w:marLeft w:val="0"/>
      <w:marRight w:val="0"/>
      <w:marTop w:val="0"/>
      <w:marBottom w:val="0"/>
      <w:divBdr>
        <w:top w:val="none" w:sz="0" w:space="0" w:color="auto"/>
        <w:left w:val="none" w:sz="0" w:space="0" w:color="auto"/>
        <w:bottom w:val="none" w:sz="0" w:space="0" w:color="auto"/>
        <w:right w:val="none" w:sz="0" w:space="0" w:color="auto"/>
      </w:divBdr>
    </w:div>
    <w:div w:id="1020276272">
      <w:bodyDiv w:val="1"/>
      <w:marLeft w:val="0"/>
      <w:marRight w:val="0"/>
      <w:marTop w:val="0"/>
      <w:marBottom w:val="0"/>
      <w:divBdr>
        <w:top w:val="none" w:sz="0" w:space="0" w:color="auto"/>
        <w:left w:val="none" w:sz="0" w:space="0" w:color="auto"/>
        <w:bottom w:val="none" w:sz="0" w:space="0" w:color="auto"/>
        <w:right w:val="none" w:sz="0" w:space="0" w:color="auto"/>
      </w:divBdr>
    </w:div>
    <w:div w:id="1089156747">
      <w:bodyDiv w:val="1"/>
      <w:marLeft w:val="0"/>
      <w:marRight w:val="0"/>
      <w:marTop w:val="0"/>
      <w:marBottom w:val="0"/>
      <w:divBdr>
        <w:top w:val="none" w:sz="0" w:space="0" w:color="auto"/>
        <w:left w:val="none" w:sz="0" w:space="0" w:color="auto"/>
        <w:bottom w:val="none" w:sz="0" w:space="0" w:color="auto"/>
        <w:right w:val="none" w:sz="0" w:space="0" w:color="auto"/>
      </w:divBdr>
    </w:div>
    <w:div w:id="1365859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5863F-B4AE-4DF2-A6E7-62642E93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42980</Words>
  <Characters>244991</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Hương Giang</dc:creator>
  <cp:keywords/>
  <dc:description/>
  <cp:lastModifiedBy>Trương Hồng Hải</cp:lastModifiedBy>
  <cp:revision>9</cp:revision>
  <dcterms:created xsi:type="dcterms:W3CDTF">2026-03-30T12:01:00Z</dcterms:created>
  <dcterms:modified xsi:type="dcterms:W3CDTF">2026-04-03T03:15:00Z</dcterms:modified>
</cp:coreProperties>
</file>